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D5" w:rsidRPr="006E611C" w:rsidRDefault="00643BD5" w:rsidP="00B06737">
      <w:pPr>
        <w:jc w:val="both"/>
        <w:rPr>
          <w:b/>
          <w:bCs/>
          <w:sz w:val="22"/>
          <w:szCs w:val="22"/>
        </w:rPr>
      </w:pPr>
      <w:r w:rsidRPr="006E611C">
        <w:rPr>
          <w:b/>
          <w:bCs/>
          <w:sz w:val="22"/>
          <w:szCs w:val="22"/>
        </w:rPr>
        <w:t>PA</w:t>
      </w:r>
      <w:bookmarkStart w:id="0" w:name="_GoBack"/>
      <w:bookmarkEnd w:id="0"/>
      <w:r w:rsidRPr="006E611C">
        <w:rPr>
          <w:b/>
          <w:bCs/>
          <w:sz w:val="22"/>
          <w:szCs w:val="22"/>
        </w:rPr>
        <w:t xml:space="preserve">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w:t>
      </w:r>
      <w:proofErr w:type="spellStart"/>
      <w:r w:rsidRPr="006E611C">
        <w:rPr>
          <w:sz w:val="22"/>
          <w:szCs w:val="22"/>
        </w:rPr>
        <w:t>Berhad</w:t>
      </w:r>
      <w:proofErr w:type="spellEnd"/>
      <w:r w:rsidRPr="006E611C">
        <w:rPr>
          <w:sz w:val="22"/>
          <w:szCs w:val="22"/>
        </w:rPr>
        <w:t xml:space="preserve">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w:t>
      </w:r>
      <w:r w:rsidR="00B6359E">
        <w:rPr>
          <w:sz w:val="22"/>
          <w:szCs w:val="22"/>
        </w:rPr>
        <w:t>3</w:t>
      </w:r>
      <w:r w:rsidRPr="00667E29">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w:t>
      </w:r>
      <w:r w:rsidR="00B6359E">
        <w:rPr>
          <w:rFonts w:ascii="Times New Roman" w:hAnsi="Times New Roman" w:cs="Times New Roman"/>
          <w:sz w:val="22"/>
          <w:szCs w:val="22"/>
        </w:rPr>
        <w:t xml:space="preserve"> to MFRS 127 Consolidated and Separate Financial Statements (Amendments relating to Investment Entities);</w:t>
      </w:r>
    </w:p>
    <w:p w:rsidR="00667E29" w:rsidRPr="00667E29" w:rsidRDefault="00B6359E" w:rsidP="00667E29">
      <w:pPr>
        <w:pStyle w:val="Default"/>
        <w:numPr>
          <w:ilvl w:val="0"/>
          <w:numId w:val="13"/>
        </w:numPr>
        <w:ind w:left="1440"/>
        <w:jc w:val="both"/>
        <w:rPr>
          <w:rFonts w:ascii="Times New Roman" w:hAnsi="Times New Roman" w:cs="Times New Roman"/>
          <w:sz w:val="22"/>
          <w:szCs w:val="22"/>
        </w:rPr>
      </w:pPr>
      <w:r>
        <w:rPr>
          <w:rFonts w:ascii="Times New Roman" w:hAnsi="Times New Roman" w:cs="Times New Roman"/>
          <w:sz w:val="22"/>
          <w:szCs w:val="22"/>
        </w:rPr>
        <w:t>Amendments to MFRS 132 Financial Instruments: Presentation (</w:t>
      </w:r>
      <w:r w:rsidR="00667E29" w:rsidRPr="00667E29">
        <w:rPr>
          <w:rFonts w:ascii="Times New Roman" w:hAnsi="Times New Roman" w:cs="Times New Roman"/>
          <w:sz w:val="22"/>
          <w:szCs w:val="22"/>
        </w:rPr>
        <w:t xml:space="preserve">Amendments relating to </w:t>
      </w:r>
      <w:r>
        <w:rPr>
          <w:rFonts w:ascii="Times New Roman" w:hAnsi="Times New Roman" w:cs="Times New Roman"/>
          <w:sz w:val="22"/>
          <w:szCs w:val="22"/>
        </w:rPr>
        <w:t>Offsetting Financial Assets and Financial Liabilities</w:t>
      </w:r>
      <w:r w:rsidR="00667E29" w:rsidRPr="00667E29">
        <w:rPr>
          <w:rFonts w:ascii="Times New Roman" w:hAnsi="Times New Roman" w:cs="Times New Roman"/>
          <w:sz w:val="22"/>
          <w:szCs w:val="22"/>
        </w:rPr>
        <w:t>)</w:t>
      </w:r>
      <w:r>
        <w:rPr>
          <w:rFonts w:ascii="Times New Roman" w:hAnsi="Times New Roman" w:cs="Times New Roman"/>
          <w:sz w:val="22"/>
          <w:szCs w:val="22"/>
        </w:rPr>
        <w:t>;</w:t>
      </w:r>
      <w:r w:rsidR="00667E29" w:rsidRPr="00667E29">
        <w:rPr>
          <w:rFonts w:ascii="Times New Roman" w:hAnsi="Times New Roman" w:cs="Times New Roman"/>
          <w:sz w:val="22"/>
          <w:szCs w:val="22"/>
        </w:rPr>
        <w:t xml:space="preserv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w:t>
      </w:r>
      <w:r w:rsidR="00B6359E">
        <w:rPr>
          <w:rFonts w:ascii="Times New Roman" w:hAnsi="Times New Roman" w:cs="Times New Roman"/>
          <w:sz w:val="22"/>
          <w:szCs w:val="22"/>
        </w:rPr>
        <w:t xml:space="preserve"> 136 Impairment of Assets (Amendments relating to Recoverable Amount Disclosures for Non-Financial Assets).</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 xml:space="preserve">Amendment to </w:t>
      </w:r>
      <w:r w:rsidR="00667E29" w:rsidRPr="00B6359E">
        <w:rPr>
          <w:rFonts w:ascii="Times New Roman" w:hAnsi="Times New Roman" w:cs="Times New Roman"/>
          <w:sz w:val="22"/>
          <w:szCs w:val="22"/>
        </w:rPr>
        <w:t xml:space="preserve">MFRS </w:t>
      </w:r>
      <w:r w:rsidRPr="00B6359E">
        <w:rPr>
          <w:rFonts w:ascii="Times New Roman" w:hAnsi="Times New Roman" w:cs="Times New Roman"/>
          <w:sz w:val="22"/>
          <w:szCs w:val="22"/>
        </w:rPr>
        <w:t>3 Business Combinations;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8 Operating Segments;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10 Consolidated Financial Statements (Amendments relating to Investment Entities);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 Fair Value Measurement;</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116 Property, Plant and Equipment;</w:t>
      </w:r>
    </w:p>
    <w:p w:rsidR="009C2922"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sidR="009C2922">
        <w:rPr>
          <w:rFonts w:ascii="Times New Roman" w:hAnsi="Times New Roman" w:cs="Times New Roman"/>
          <w:sz w:val="22"/>
          <w:szCs w:val="22"/>
        </w:rPr>
        <w:t xml:space="preserve"> 119 Employee Benefits;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124 Related Party Disclosures;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138 Intangible Assets;</w:t>
      </w:r>
    </w:p>
    <w:p w:rsidR="009C2922" w:rsidRPr="009C2922" w:rsidRDefault="009C2922" w:rsidP="009C2922">
      <w:pPr>
        <w:pStyle w:val="Default"/>
        <w:numPr>
          <w:ilvl w:val="0"/>
          <w:numId w:val="14"/>
        </w:numPr>
        <w:ind w:left="1440"/>
        <w:jc w:val="both"/>
        <w:rPr>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140 Investment Properties.</w:t>
      </w:r>
    </w:p>
    <w:p w:rsidR="00667E29" w:rsidRPr="00667E29" w:rsidRDefault="009C2922" w:rsidP="009C2922">
      <w:pPr>
        <w:pStyle w:val="Default"/>
        <w:ind w:left="1440"/>
        <w:jc w:val="both"/>
        <w:rPr>
          <w:sz w:val="22"/>
          <w:szCs w:val="22"/>
        </w:rPr>
      </w:pPr>
      <w:r w:rsidRPr="00667E29">
        <w:rPr>
          <w:sz w:val="22"/>
          <w:szCs w:val="22"/>
        </w:rPr>
        <w:t xml:space="preserve"> </w:t>
      </w:r>
    </w:p>
    <w:p w:rsid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446C8D" w:rsidRPr="00667E29" w:rsidRDefault="00446C8D" w:rsidP="00667E29">
      <w:pPr>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9C2922">
        <w:rPr>
          <w:sz w:val="22"/>
          <w:szCs w:val="22"/>
        </w:rPr>
        <w:t>3</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9C5C23" w:rsidP="002C24D4">
      <w:pPr>
        <w:pStyle w:val="BodyTextIndent"/>
        <w:ind w:left="1080"/>
        <w:jc w:val="both"/>
        <w:rPr>
          <w:sz w:val="22"/>
          <w:szCs w:val="22"/>
        </w:rPr>
      </w:pPr>
      <w:r>
        <w:rPr>
          <w:sz w:val="22"/>
          <w:szCs w:val="22"/>
        </w:rPr>
        <w:t>There was no dividend paid during the quarter under review.</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1" w:name="_MON_1396439693"/>
    <w:bookmarkEnd w:id="1"/>
    <w:bookmarkStart w:id="2" w:name="_MON_1396707253"/>
    <w:bookmarkEnd w:id="2"/>
    <w:p w:rsidR="00643BD5" w:rsidRDefault="00C7543C" w:rsidP="008A18FC">
      <w:pPr>
        <w:tabs>
          <w:tab w:val="left" w:pos="1080"/>
        </w:tabs>
        <w:ind w:left="1080"/>
        <w:jc w:val="both"/>
        <w:rPr>
          <w:b/>
          <w:bCs/>
          <w:sz w:val="22"/>
          <w:szCs w:val="22"/>
        </w:rPr>
      </w:pPr>
      <w:r w:rsidRPr="006E611C">
        <w:rPr>
          <w:b/>
          <w:bCs/>
          <w:sz w:val="22"/>
          <w:szCs w:val="22"/>
        </w:rPr>
        <w:object w:dxaOrig="7974" w:dyaOrig="3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7.2pt" o:ole="" fillcolor="window">
            <v:imagedata r:id="rId7" o:title=""/>
          </v:shape>
          <o:OLEObject Type="Embed" ProgID="Excel.Sheet.8" ShapeID="_x0000_i1025" DrawAspect="Content" ObjectID="_1468756115" r:id="rId8"/>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lastRenderedPageBreak/>
        <w:t xml:space="preserve">As at the end of the reporting quarter the Group’s </w:t>
      </w:r>
      <w:r w:rsidR="009C2922">
        <w:rPr>
          <w:bCs/>
          <w:sz w:val="22"/>
          <w:szCs w:val="22"/>
        </w:rPr>
        <w:t xml:space="preserve">pilot </w:t>
      </w:r>
      <w:r>
        <w:rPr>
          <w:bCs/>
          <w:sz w:val="22"/>
          <w:szCs w:val="22"/>
        </w:rPr>
        <w:t>bio-coal plant has yet to commence commercial production.</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446C8D">
            <w:pPr>
              <w:widowControl w:val="0"/>
              <w:tabs>
                <w:tab w:val="left" w:pos="1080"/>
              </w:tabs>
              <w:jc w:val="center"/>
              <w:rPr>
                <w:rFonts w:eastAsia="Times New Roman"/>
                <w:sz w:val="22"/>
                <w:szCs w:val="22"/>
              </w:rPr>
            </w:pPr>
            <w:r w:rsidRPr="006E611C">
              <w:rPr>
                <w:rFonts w:eastAsia="Times New Roman"/>
                <w:iCs/>
                <w:sz w:val="22"/>
                <w:szCs w:val="22"/>
              </w:rPr>
              <w:t xml:space="preserve">    </w:t>
            </w:r>
            <w:r w:rsidR="009C2922">
              <w:rPr>
                <w:rFonts w:eastAsia="Times New Roman"/>
                <w:iCs/>
                <w:sz w:val="22"/>
                <w:szCs w:val="22"/>
              </w:rPr>
              <w:t>26</w:t>
            </w:r>
            <w:r w:rsidR="00065F3A">
              <w:rPr>
                <w:rFonts w:eastAsia="Times New Roman"/>
                <w:iCs/>
                <w:sz w:val="22"/>
                <w:szCs w:val="22"/>
              </w:rPr>
              <w:t>,</w:t>
            </w:r>
            <w:r w:rsidR="00446C8D">
              <w:rPr>
                <w:rFonts w:eastAsia="Times New Roman"/>
                <w:iCs/>
                <w:sz w:val="22"/>
                <w:szCs w:val="22"/>
              </w:rPr>
              <w:t>511</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446C8D">
            <w:pPr>
              <w:widowControl w:val="0"/>
              <w:tabs>
                <w:tab w:val="left" w:pos="1080"/>
              </w:tabs>
              <w:jc w:val="center"/>
              <w:rPr>
                <w:rFonts w:eastAsia="Times New Roman"/>
                <w:sz w:val="22"/>
                <w:szCs w:val="22"/>
              </w:rPr>
            </w:pPr>
            <w:r w:rsidRPr="006E611C">
              <w:rPr>
                <w:iCs/>
                <w:sz w:val="22"/>
                <w:szCs w:val="22"/>
              </w:rPr>
              <w:t xml:space="preserve">    </w:t>
            </w:r>
            <w:r w:rsidR="009C2922">
              <w:rPr>
                <w:iCs/>
                <w:sz w:val="22"/>
                <w:szCs w:val="22"/>
              </w:rPr>
              <w:t>5</w:t>
            </w:r>
            <w:r w:rsidR="00446C8D">
              <w:rPr>
                <w:iCs/>
                <w:sz w:val="22"/>
                <w:szCs w:val="22"/>
              </w:rPr>
              <w:t>0</w:t>
            </w:r>
            <w:r w:rsidR="0036383F" w:rsidRPr="006E611C">
              <w:rPr>
                <w:iCs/>
                <w:sz w:val="22"/>
                <w:szCs w:val="22"/>
              </w:rPr>
              <w:t>,</w:t>
            </w:r>
            <w:r w:rsidR="00446C8D">
              <w:rPr>
                <w:iCs/>
                <w:sz w:val="22"/>
                <w:szCs w:val="22"/>
              </w:rPr>
              <w:t>984</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446C8D">
            <w:pPr>
              <w:widowControl w:val="0"/>
              <w:tabs>
                <w:tab w:val="left" w:pos="1080"/>
              </w:tabs>
              <w:rPr>
                <w:rFonts w:eastAsia="Times New Roman"/>
                <w:sz w:val="22"/>
                <w:szCs w:val="22"/>
              </w:rPr>
            </w:pPr>
            <w:r w:rsidRPr="006E611C">
              <w:rPr>
                <w:rFonts w:eastAsia="Times New Roman"/>
                <w:sz w:val="22"/>
                <w:szCs w:val="22"/>
              </w:rPr>
              <w:t xml:space="preserve">      </w:t>
            </w:r>
            <w:r w:rsidR="00446C8D">
              <w:rPr>
                <w:rFonts w:eastAsia="Times New Roman"/>
                <w:sz w:val="22"/>
                <w:szCs w:val="22"/>
              </w:rPr>
              <w:t>77</w:t>
            </w:r>
            <w:r w:rsidR="0036383F" w:rsidRPr="006E611C">
              <w:rPr>
                <w:rFonts w:eastAsia="Times New Roman"/>
                <w:sz w:val="22"/>
                <w:szCs w:val="22"/>
              </w:rPr>
              <w:t>,</w:t>
            </w:r>
            <w:r w:rsidR="00446C8D">
              <w:rPr>
                <w:rFonts w:eastAsia="Times New Roman"/>
                <w:sz w:val="22"/>
                <w:szCs w:val="22"/>
              </w:rPr>
              <w:t>495</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w:t>
      </w:r>
      <w:r w:rsidR="000775B2">
        <w:rPr>
          <w:sz w:val="22"/>
          <w:szCs w:val="22"/>
        </w:rPr>
        <w:t>register</w:t>
      </w:r>
      <w:r w:rsidRPr="00AD76E4">
        <w:rPr>
          <w:sz w:val="22"/>
          <w:szCs w:val="22"/>
        </w:rPr>
        <w:t xml:space="preserve">ed revenue and </w:t>
      </w:r>
      <w:r w:rsidR="002B3CE6">
        <w:rPr>
          <w:sz w:val="22"/>
          <w:szCs w:val="22"/>
        </w:rPr>
        <w:t>loss</w:t>
      </w:r>
      <w:r w:rsidRPr="00AD76E4">
        <w:rPr>
          <w:sz w:val="22"/>
          <w:szCs w:val="22"/>
        </w:rPr>
        <w:t xml:space="preserve"> before tax for the current quarter of RM2</w:t>
      </w:r>
      <w:r w:rsidR="002B3CE6">
        <w:rPr>
          <w:sz w:val="22"/>
          <w:szCs w:val="22"/>
        </w:rPr>
        <w:t>6</w:t>
      </w:r>
      <w:r w:rsidR="00446C8D">
        <w:rPr>
          <w:sz w:val="22"/>
          <w:szCs w:val="22"/>
        </w:rPr>
        <w:t>3</w:t>
      </w:r>
      <w:r w:rsidRPr="00AD76E4">
        <w:rPr>
          <w:sz w:val="22"/>
          <w:szCs w:val="22"/>
        </w:rPr>
        <w:t>.</w:t>
      </w:r>
      <w:r w:rsidR="00446C8D">
        <w:rPr>
          <w:sz w:val="22"/>
          <w:szCs w:val="22"/>
        </w:rPr>
        <w:t>2</w:t>
      </w:r>
      <w:r w:rsidRPr="00AD76E4">
        <w:rPr>
          <w:sz w:val="22"/>
          <w:szCs w:val="22"/>
        </w:rPr>
        <w:t xml:space="preserve"> million and RM</w:t>
      </w:r>
      <w:r w:rsidR="00446C8D">
        <w:rPr>
          <w:sz w:val="22"/>
          <w:szCs w:val="22"/>
        </w:rPr>
        <w:t>11</w:t>
      </w:r>
      <w:r w:rsidR="002B3CE6">
        <w:rPr>
          <w:sz w:val="22"/>
          <w:szCs w:val="22"/>
        </w:rPr>
        <w:t>.</w:t>
      </w:r>
      <w:r w:rsidR="00446C8D">
        <w:rPr>
          <w:sz w:val="22"/>
          <w:szCs w:val="22"/>
        </w:rPr>
        <w:t>2</w:t>
      </w:r>
      <w:r w:rsidRPr="00AD76E4">
        <w:rPr>
          <w:sz w:val="22"/>
          <w:szCs w:val="22"/>
        </w:rPr>
        <w:t xml:space="preserve"> million respectively. This represents a</w:t>
      </w:r>
      <w:r w:rsidR="002B3CE6">
        <w:rPr>
          <w:sz w:val="22"/>
          <w:szCs w:val="22"/>
        </w:rPr>
        <w:t xml:space="preserve"> </w:t>
      </w:r>
      <w:r w:rsidR="001757D4">
        <w:rPr>
          <w:sz w:val="22"/>
          <w:szCs w:val="22"/>
        </w:rPr>
        <w:t xml:space="preserve">significant </w:t>
      </w:r>
      <w:r w:rsidR="002B3CE6">
        <w:rPr>
          <w:sz w:val="22"/>
          <w:szCs w:val="22"/>
        </w:rPr>
        <w:t>de</w:t>
      </w:r>
      <w:r w:rsidRPr="00AD76E4">
        <w:rPr>
          <w:sz w:val="22"/>
          <w:szCs w:val="22"/>
        </w:rPr>
        <w:t>crease of RM</w:t>
      </w:r>
      <w:r w:rsidR="00446C8D">
        <w:rPr>
          <w:sz w:val="22"/>
          <w:szCs w:val="22"/>
        </w:rPr>
        <w:t>25</w:t>
      </w:r>
      <w:r w:rsidR="001757D4">
        <w:rPr>
          <w:sz w:val="22"/>
          <w:szCs w:val="22"/>
        </w:rPr>
        <w:t>.</w:t>
      </w:r>
      <w:r w:rsidR="00446C8D">
        <w:rPr>
          <w:sz w:val="22"/>
          <w:szCs w:val="22"/>
        </w:rPr>
        <w:t>9</w:t>
      </w:r>
      <w:r w:rsidRPr="00AD76E4">
        <w:rPr>
          <w:sz w:val="22"/>
          <w:szCs w:val="22"/>
        </w:rPr>
        <w:t xml:space="preserve"> million or </w:t>
      </w:r>
      <w:r w:rsidR="00446C8D">
        <w:rPr>
          <w:sz w:val="22"/>
          <w:szCs w:val="22"/>
        </w:rPr>
        <w:t>9</w:t>
      </w:r>
      <w:r w:rsidR="001757D4">
        <w:rPr>
          <w:sz w:val="22"/>
          <w:szCs w:val="22"/>
        </w:rPr>
        <w:t>.</w:t>
      </w:r>
      <w:r w:rsidR="00446C8D">
        <w:rPr>
          <w:sz w:val="22"/>
          <w:szCs w:val="22"/>
        </w:rPr>
        <w:t>0</w:t>
      </w:r>
      <w:r w:rsidRPr="00AD76E4">
        <w:rPr>
          <w:sz w:val="22"/>
          <w:szCs w:val="22"/>
        </w:rPr>
        <w:t xml:space="preserve">% </w:t>
      </w:r>
      <w:r w:rsidR="001757D4">
        <w:rPr>
          <w:sz w:val="22"/>
          <w:szCs w:val="22"/>
        </w:rPr>
        <w:t>lower</w:t>
      </w:r>
      <w:r w:rsidRPr="00AD76E4">
        <w:rPr>
          <w:sz w:val="22"/>
          <w:szCs w:val="22"/>
        </w:rPr>
        <w:t xml:space="preserve"> in revenue than that of its corresponding quarter. </w:t>
      </w:r>
      <w:r w:rsidR="001757D4">
        <w:rPr>
          <w:sz w:val="22"/>
          <w:szCs w:val="22"/>
        </w:rPr>
        <w:t xml:space="preserve">The decrease in revenue is due to </w:t>
      </w:r>
      <w:r w:rsidR="008A6BF2">
        <w:rPr>
          <w:sz w:val="22"/>
          <w:szCs w:val="22"/>
        </w:rPr>
        <w:t xml:space="preserve">significant decreases in selling </w:t>
      </w:r>
      <w:r w:rsidR="001757D4">
        <w:rPr>
          <w:sz w:val="22"/>
          <w:szCs w:val="22"/>
        </w:rPr>
        <w:t>prices of our steel products</w:t>
      </w:r>
      <w:r w:rsidR="008A6BF2">
        <w:rPr>
          <w:sz w:val="22"/>
          <w:szCs w:val="22"/>
        </w:rPr>
        <w:t xml:space="preserve"> in spite of a marginal increase in sales volume</w:t>
      </w:r>
      <w:r w:rsidR="001757D4">
        <w:rPr>
          <w:sz w:val="22"/>
          <w:szCs w:val="22"/>
        </w:rPr>
        <w:t xml:space="preserve">. </w:t>
      </w:r>
      <w:r w:rsidR="00EF2F56">
        <w:rPr>
          <w:sz w:val="22"/>
          <w:szCs w:val="22"/>
        </w:rPr>
        <w:t xml:space="preserve">As a result, </w:t>
      </w:r>
      <w:r w:rsidR="005A41D2">
        <w:rPr>
          <w:sz w:val="22"/>
          <w:szCs w:val="22"/>
        </w:rPr>
        <w:t xml:space="preserve">the Group suffered a loss </w:t>
      </w:r>
      <w:r w:rsidR="00667253">
        <w:rPr>
          <w:sz w:val="22"/>
          <w:szCs w:val="22"/>
        </w:rPr>
        <w:t xml:space="preserve">before tax </w:t>
      </w:r>
      <w:r w:rsidR="005A41D2">
        <w:rPr>
          <w:sz w:val="22"/>
          <w:szCs w:val="22"/>
        </w:rPr>
        <w:t>of RM</w:t>
      </w:r>
      <w:r w:rsidR="008A6BF2">
        <w:rPr>
          <w:sz w:val="22"/>
          <w:szCs w:val="22"/>
        </w:rPr>
        <w:t xml:space="preserve">11.2 </w:t>
      </w:r>
      <w:r w:rsidR="005A41D2">
        <w:rPr>
          <w:sz w:val="22"/>
          <w:szCs w:val="22"/>
        </w:rPr>
        <w:t>million</w:t>
      </w:r>
      <w:r w:rsidR="00945081">
        <w:rPr>
          <w:sz w:val="22"/>
          <w:szCs w:val="22"/>
        </w:rPr>
        <w:t>, a decrease of RM2</w:t>
      </w:r>
      <w:r w:rsidR="008A6BF2">
        <w:rPr>
          <w:sz w:val="22"/>
          <w:szCs w:val="22"/>
        </w:rPr>
        <w:t>1</w:t>
      </w:r>
      <w:r w:rsidR="00945081">
        <w:rPr>
          <w:sz w:val="22"/>
          <w:szCs w:val="22"/>
        </w:rPr>
        <w:t>.</w:t>
      </w:r>
      <w:r w:rsidR="008A6BF2">
        <w:rPr>
          <w:sz w:val="22"/>
          <w:szCs w:val="22"/>
        </w:rPr>
        <w:t>4</w:t>
      </w:r>
      <w:r w:rsidR="00945081">
        <w:rPr>
          <w:sz w:val="22"/>
          <w:szCs w:val="22"/>
        </w:rPr>
        <w:t xml:space="preserve"> million from that </w:t>
      </w:r>
      <w:r w:rsidR="008A6BF2">
        <w:rPr>
          <w:sz w:val="22"/>
          <w:szCs w:val="22"/>
        </w:rPr>
        <w:t>o</w:t>
      </w:r>
      <w:r w:rsidR="00945081">
        <w:rPr>
          <w:sz w:val="22"/>
          <w:szCs w:val="22"/>
        </w:rPr>
        <w:t>f its corresponding quarter of RM</w:t>
      </w:r>
      <w:r w:rsidR="008A6BF2">
        <w:rPr>
          <w:sz w:val="22"/>
          <w:szCs w:val="22"/>
        </w:rPr>
        <w:t>10.2</w:t>
      </w:r>
      <w:r w:rsidR="00945081">
        <w:rPr>
          <w:sz w:val="22"/>
          <w:szCs w:val="22"/>
        </w:rPr>
        <w:t xml:space="preserve"> million </w:t>
      </w:r>
      <w:r w:rsidR="008A6BF2">
        <w:rPr>
          <w:sz w:val="22"/>
          <w:szCs w:val="22"/>
        </w:rPr>
        <w:t>in</w:t>
      </w:r>
      <w:r w:rsidR="00945081">
        <w:rPr>
          <w:sz w:val="22"/>
          <w:szCs w:val="22"/>
        </w:rPr>
        <w:t xml:space="preserve"> profit before tax</w:t>
      </w:r>
      <w:r w:rsidR="00CD13E7">
        <w:rPr>
          <w:sz w:val="22"/>
          <w:szCs w:val="22"/>
        </w:rPr>
        <w:t>.</w:t>
      </w:r>
    </w:p>
    <w:p w:rsidR="0008319C" w:rsidRDefault="0008319C" w:rsidP="00FD2DBE">
      <w:pPr>
        <w:adjustRightInd w:val="0"/>
        <w:ind w:left="1080"/>
        <w:rPr>
          <w:sz w:val="22"/>
          <w:szCs w:val="22"/>
        </w:rPr>
      </w:pPr>
    </w:p>
    <w:p w:rsidR="00420828" w:rsidRPr="00AD76E4" w:rsidRDefault="00420828" w:rsidP="00FD2DBE">
      <w:pPr>
        <w:adjustRightInd w:val="0"/>
        <w:ind w:left="1080"/>
        <w:rPr>
          <w:sz w:val="22"/>
          <w:szCs w:val="22"/>
        </w:rPr>
      </w:pPr>
      <w:r>
        <w:rPr>
          <w:sz w:val="22"/>
          <w:szCs w:val="22"/>
        </w:rPr>
        <w:lastRenderedPageBreak/>
        <w:t xml:space="preserve">With regards to our pilot bio-coal manufacturing plant, </w:t>
      </w:r>
      <w:r w:rsidR="00311B74">
        <w:rPr>
          <w:sz w:val="22"/>
          <w:szCs w:val="22"/>
        </w:rPr>
        <w:t>the plant has yet to commence commercial production as o</w:t>
      </w:r>
      <w:r>
        <w:rPr>
          <w:sz w:val="22"/>
          <w:szCs w:val="22"/>
        </w:rPr>
        <w:t>ur parent company’s R&amp;D</w:t>
      </w:r>
      <w:r w:rsidR="00311B74">
        <w:rPr>
          <w:sz w:val="22"/>
          <w:szCs w:val="22"/>
        </w:rPr>
        <w:t xml:space="preserve"> team </w:t>
      </w:r>
      <w:r w:rsidR="00065F3A">
        <w:rPr>
          <w:sz w:val="22"/>
          <w:szCs w:val="22"/>
        </w:rPr>
        <w:t>is</w:t>
      </w:r>
      <w:r w:rsidR="000D0952">
        <w:rPr>
          <w:sz w:val="22"/>
          <w:szCs w:val="22"/>
        </w:rPr>
        <w:t xml:space="preserve"> still</w:t>
      </w:r>
      <w:r w:rsidR="00065F3A">
        <w:rPr>
          <w:sz w:val="22"/>
          <w:szCs w:val="22"/>
        </w:rPr>
        <w:t xml:space="preserve"> </w:t>
      </w:r>
      <w:r w:rsidR="005A41D2">
        <w:rPr>
          <w:sz w:val="22"/>
          <w:szCs w:val="22"/>
        </w:rPr>
        <w:t xml:space="preserve">in the process of </w:t>
      </w:r>
      <w:r w:rsidR="00EF2F56">
        <w:rPr>
          <w:sz w:val="22"/>
          <w:szCs w:val="22"/>
        </w:rPr>
        <w:t xml:space="preserve">solving </w:t>
      </w:r>
      <w:r w:rsidR="00311B74">
        <w:rPr>
          <w:sz w:val="22"/>
          <w:szCs w:val="22"/>
        </w:rPr>
        <w:t xml:space="preserve">technical issues </w:t>
      </w:r>
      <w:r w:rsidR="00902FC4">
        <w:rPr>
          <w:sz w:val="22"/>
          <w:szCs w:val="22"/>
        </w:rPr>
        <w:t>encountered</w:t>
      </w:r>
      <w:r w:rsidR="00311B74">
        <w:rPr>
          <w:sz w:val="22"/>
          <w:szCs w:val="22"/>
        </w:rPr>
        <w:t xml:space="preserve">.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FD2DBE" w:rsidRPr="00AD76E4" w:rsidRDefault="00643BD5" w:rsidP="00FD2DBE">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w:t>
      </w:r>
      <w:r w:rsidR="00CD13E7">
        <w:rPr>
          <w:sz w:val="22"/>
          <w:szCs w:val="22"/>
        </w:rPr>
        <w:t>de</w:t>
      </w:r>
      <w:r w:rsidR="00FD2DBE" w:rsidRPr="00AD76E4">
        <w:rPr>
          <w:sz w:val="22"/>
          <w:szCs w:val="22"/>
        </w:rPr>
        <w:t xml:space="preserve">creased by </w:t>
      </w:r>
      <w:r w:rsidR="008A6BF2">
        <w:rPr>
          <w:sz w:val="22"/>
          <w:szCs w:val="22"/>
        </w:rPr>
        <w:t>2.3</w:t>
      </w:r>
      <w:r w:rsidR="00FD2DBE" w:rsidRPr="00AD76E4">
        <w:rPr>
          <w:sz w:val="22"/>
          <w:szCs w:val="22"/>
        </w:rPr>
        <w:t>%, from RM2</w:t>
      </w:r>
      <w:r w:rsidR="008A6BF2">
        <w:rPr>
          <w:sz w:val="22"/>
          <w:szCs w:val="22"/>
        </w:rPr>
        <w:t>69.4</w:t>
      </w:r>
      <w:r w:rsidR="00FD2DBE" w:rsidRPr="00AD76E4">
        <w:rPr>
          <w:sz w:val="22"/>
          <w:szCs w:val="22"/>
        </w:rPr>
        <w:t xml:space="preserve"> million in the preceding quarter to RM2</w:t>
      </w:r>
      <w:r w:rsidR="00CD13E7">
        <w:rPr>
          <w:sz w:val="22"/>
          <w:szCs w:val="22"/>
        </w:rPr>
        <w:t>6</w:t>
      </w:r>
      <w:r w:rsidR="008A6BF2">
        <w:rPr>
          <w:sz w:val="22"/>
          <w:szCs w:val="22"/>
        </w:rPr>
        <w:t>3.2</w:t>
      </w:r>
      <w:r w:rsidR="00FD2DBE" w:rsidRPr="00AD76E4">
        <w:rPr>
          <w:sz w:val="22"/>
          <w:szCs w:val="22"/>
        </w:rPr>
        <w:t xml:space="preserve"> million this quarter. The </w:t>
      </w:r>
      <w:r w:rsidR="00CD13E7">
        <w:rPr>
          <w:sz w:val="22"/>
          <w:szCs w:val="22"/>
        </w:rPr>
        <w:t>de</w:t>
      </w:r>
      <w:r w:rsidR="00FD2DBE" w:rsidRPr="00AD76E4">
        <w:rPr>
          <w:sz w:val="22"/>
          <w:szCs w:val="22"/>
        </w:rPr>
        <w:t xml:space="preserve">crease in revenue is primarily due to </w:t>
      </w:r>
      <w:r w:rsidR="00065F3A">
        <w:rPr>
          <w:sz w:val="22"/>
          <w:szCs w:val="22"/>
        </w:rPr>
        <w:t xml:space="preserve">lower </w:t>
      </w:r>
      <w:r w:rsidR="00A91763">
        <w:rPr>
          <w:sz w:val="22"/>
          <w:szCs w:val="22"/>
        </w:rPr>
        <w:t xml:space="preserve">sales volume of some of our </w:t>
      </w:r>
      <w:r w:rsidR="00CD13E7">
        <w:rPr>
          <w:sz w:val="22"/>
          <w:szCs w:val="22"/>
        </w:rPr>
        <w:t xml:space="preserve">steel products </w:t>
      </w:r>
      <w:r w:rsidR="00A91763">
        <w:rPr>
          <w:sz w:val="22"/>
          <w:szCs w:val="22"/>
        </w:rPr>
        <w:t xml:space="preserve">mitigated by </w:t>
      </w:r>
      <w:r w:rsidR="00CD13E7">
        <w:rPr>
          <w:sz w:val="22"/>
          <w:szCs w:val="22"/>
        </w:rPr>
        <w:t>marginal increase</w:t>
      </w:r>
      <w:r w:rsidR="00A91763">
        <w:rPr>
          <w:sz w:val="22"/>
          <w:szCs w:val="22"/>
        </w:rPr>
        <w:t xml:space="preserve">s in </w:t>
      </w:r>
      <w:r w:rsidR="00454581">
        <w:rPr>
          <w:sz w:val="22"/>
          <w:szCs w:val="22"/>
        </w:rPr>
        <w:t xml:space="preserve">their </w:t>
      </w:r>
      <w:r w:rsidR="00A91763">
        <w:rPr>
          <w:sz w:val="22"/>
          <w:szCs w:val="22"/>
        </w:rPr>
        <w:t>selling prices</w:t>
      </w:r>
      <w:r w:rsidR="00FD2DBE" w:rsidRPr="00AD76E4">
        <w:rPr>
          <w:sz w:val="22"/>
          <w:szCs w:val="22"/>
        </w:rPr>
        <w:t xml:space="preserve">. </w:t>
      </w:r>
      <w:r w:rsidR="00A91763">
        <w:rPr>
          <w:sz w:val="22"/>
          <w:szCs w:val="22"/>
        </w:rPr>
        <w:t>However, due t</w:t>
      </w:r>
      <w:r w:rsidR="00454581">
        <w:rPr>
          <w:sz w:val="22"/>
          <w:szCs w:val="22"/>
        </w:rPr>
        <w:t>o higher raw material costs, higher transport</w:t>
      </w:r>
      <w:r w:rsidR="00174762">
        <w:rPr>
          <w:sz w:val="22"/>
          <w:szCs w:val="22"/>
        </w:rPr>
        <w:t>ation</w:t>
      </w:r>
      <w:r w:rsidR="00454581">
        <w:rPr>
          <w:sz w:val="22"/>
          <w:szCs w:val="22"/>
        </w:rPr>
        <w:t xml:space="preserve"> charges </w:t>
      </w:r>
      <w:r w:rsidR="00174762">
        <w:rPr>
          <w:sz w:val="22"/>
          <w:szCs w:val="22"/>
        </w:rPr>
        <w:t>as a result of greater</w:t>
      </w:r>
      <w:r w:rsidR="00454581">
        <w:rPr>
          <w:sz w:val="22"/>
          <w:szCs w:val="22"/>
        </w:rPr>
        <w:t xml:space="preserve"> export volume and impairment charge on </w:t>
      </w:r>
      <w:r w:rsidR="00174762">
        <w:rPr>
          <w:sz w:val="22"/>
          <w:szCs w:val="22"/>
        </w:rPr>
        <w:t xml:space="preserve">equity investment in </w:t>
      </w:r>
      <w:r w:rsidR="00454581">
        <w:rPr>
          <w:sz w:val="22"/>
          <w:szCs w:val="22"/>
        </w:rPr>
        <w:t>associate</w:t>
      </w:r>
      <w:r w:rsidR="00174762">
        <w:rPr>
          <w:sz w:val="22"/>
          <w:szCs w:val="22"/>
        </w:rPr>
        <w:t xml:space="preserve"> and related companies</w:t>
      </w:r>
      <w:r w:rsidR="00454581">
        <w:rPr>
          <w:sz w:val="22"/>
          <w:szCs w:val="22"/>
        </w:rPr>
        <w:t xml:space="preserve">, </w:t>
      </w:r>
      <w:r w:rsidR="00FD2DBE" w:rsidRPr="00AD76E4">
        <w:rPr>
          <w:sz w:val="22"/>
          <w:szCs w:val="22"/>
        </w:rPr>
        <w:t>the Group</w:t>
      </w:r>
      <w:r w:rsidR="005A41D2">
        <w:rPr>
          <w:sz w:val="22"/>
          <w:szCs w:val="22"/>
        </w:rPr>
        <w:t xml:space="preserve"> suffered a loss </w:t>
      </w:r>
      <w:r w:rsidR="00FD2DBE" w:rsidRPr="00AD76E4">
        <w:rPr>
          <w:sz w:val="22"/>
          <w:szCs w:val="22"/>
        </w:rPr>
        <w:t xml:space="preserve">before tax </w:t>
      </w:r>
      <w:r w:rsidR="005A41D2">
        <w:rPr>
          <w:sz w:val="22"/>
          <w:szCs w:val="22"/>
        </w:rPr>
        <w:t>of RM</w:t>
      </w:r>
      <w:r w:rsidR="00454581">
        <w:rPr>
          <w:sz w:val="22"/>
          <w:szCs w:val="22"/>
        </w:rPr>
        <w:t>11.2</w:t>
      </w:r>
      <w:r w:rsidR="005A41D2">
        <w:rPr>
          <w:sz w:val="22"/>
          <w:szCs w:val="22"/>
        </w:rPr>
        <w:t xml:space="preserve"> million </w:t>
      </w:r>
      <w:r w:rsidR="00FD2DBE" w:rsidRPr="00AD76E4">
        <w:rPr>
          <w:sz w:val="22"/>
          <w:szCs w:val="22"/>
        </w:rPr>
        <w:t>this quarter</w:t>
      </w:r>
      <w:r w:rsidR="000D0952">
        <w:rPr>
          <w:sz w:val="22"/>
          <w:szCs w:val="22"/>
        </w:rPr>
        <w:t xml:space="preserve"> compare</w:t>
      </w:r>
      <w:r w:rsidR="00DB432E">
        <w:rPr>
          <w:sz w:val="22"/>
          <w:szCs w:val="22"/>
        </w:rPr>
        <w:t>d</w:t>
      </w:r>
      <w:r w:rsidR="000D0952">
        <w:rPr>
          <w:sz w:val="22"/>
          <w:szCs w:val="22"/>
        </w:rPr>
        <w:t xml:space="preserve"> with a </w:t>
      </w:r>
      <w:r w:rsidR="00454581">
        <w:rPr>
          <w:sz w:val="22"/>
          <w:szCs w:val="22"/>
        </w:rPr>
        <w:t>loss before tax of RM0.5</w:t>
      </w:r>
      <w:r w:rsidR="000D0952">
        <w:rPr>
          <w:sz w:val="22"/>
          <w:szCs w:val="22"/>
        </w:rPr>
        <w:t xml:space="preserve"> million in the previous quarter</w:t>
      </w:r>
      <w:r w:rsidR="00FD2DBE" w:rsidRPr="00AD76E4">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624F77" w:rsidP="009A6E2B">
      <w:pPr>
        <w:tabs>
          <w:tab w:val="left" w:pos="1080"/>
        </w:tabs>
        <w:ind w:left="1080" w:hanging="720"/>
        <w:jc w:val="both"/>
        <w:rPr>
          <w:rFonts w:eastAsiaTheme="minorEastAsia"/>
          <w:sz w:val="22"/>
          <w:szCs w:val="22"/>
          <w:lang w:eastAsia="zh-TW"/>
        </w:rPr>
      </w:pPr>
      <w:r>
        <w:rPr>
          <w:sz w:val="22"/>
          <w:szCs w:val="22"/>
        </w:rPr>
        <w:tab/>
      </w:r>
    </w:p>
    <w:p w:rsidR="00454581" w:rsidRDefault="00454581" w:rsidP="00EA68C8">
      <w:pPr>
        <w:ind w:left="1170"/>
        <w:rPr>
          <w:sz w:val="22"/>
          <w:szCs w:val="22"/>
        </w:rPr>
      </w:pPr>
      <w:r>
        <w:rPr>
          <w:sz w:val="22"/>
          <w:szCs w:val="22"/>
        </w:rPr>
        <w:t>Domestic market is facing severe competition from low price</w:t>
      </w:r>
      <w:r w:rsidR="001C2BB9">
        <w:rPr>
          <w:sz w:val="22"/>
          <w:szCs w:val="22"/>
        </w:rPr>
        <w:t>d</w:t>
      </w:r>
      <w:r>
        <w:rPr>
          <w:sz w:val="22"/>
          <w:szCs w:val="22"/>
        </w:rPr>
        <w:t xml:space="preserve"> imported steel materials. The situation is becoming very serious</w:t>
      </w:r>
      <w:r w:rsidR="007C69D8">
        <w:rPr>
          <w:sz w:val="22"/>
          <w:szCs w:val="22"/>
        </w:rPr>
        <w:t xml:space="preserve"> in the country. Trade remedy measures are expected to be taken by local steel manufacturers </w:t>
      </w:r>
      <w:r w:rsidR="001C2BB9">
        <w:rPr>
          <w:sz w:val="22"/>
          <w:szCs w:val="22"/>
        </w:rPr>
        <w:t xml:space="preserve">to stem the influx of cheap imported steel materials. Petition for anti-dumping of hot rolled steel coils has already been accepted by Ministry of International Trade and Industry (MITI) and investigation is </w:t>
      </w:r>
      <w:r w:rsidR="0027335A">
        <w:rPr>
          <w:sz w:val="22"/>
          <w:szCs w:val="22"/>
        </w:rPr>
        <w:t xml:space="preserve">now </w:t>
      </w:r>
      <w:r w:rsidR="001C2BB9">
        <w:rPr>
          <w:sz w:val="22"/>
          <w:szCs w:val="22"/>
        </w:rPr>
        <w:t>underway</w:t>
      </w:r>
      <w:r w:rsidR="0027335A">
        <w:rPr>
          <w:sz w:val="22"/>
          <w:szCs w:val="22"/>
        </w:rPr>
        <w:t>.</w:t>
      </w:r>
      <w:r w:rsidR="001C2BB9">
        <w:rPr>
          <w:sz w:val="22"/>
          <w:szCs w:val="22"/>
        </w:rPr>
        <w:t xml:space="preserve"> Meantime, cold rolled steel and coated steel manufacturers are also expected to file anti-dumping petition with MITI soon. We believe these defensive actions will help to stabilize the domestic steel market and improve the local steel industries to grow once it has been implemented.</w:t>
      </w:r>
    </w:p>
    <w:p w:rsidR="00B8458B" w:rsidRPr="00263693" w:rsidRDefault="00B8458B" w:rsidP="00B8458B">
      <w:pPr>
        <w:pStyle w:val="Heading1"/>
        <w:rPr>
          <w:b w:val="0"/>
          <w:sz w:val="22"/>
          <w:szCs w:val="22"/>
        </w:rPr>
      </w:pPr>
    </w:p>
    <w:p w:rsidR="00997C13" w:rsidRDefault="00997C13" w:rsidP="001B7482">
      <w:pPr>
        <w:spacing w:after="200"/>
        <w:ind w:leftChars="414" w:left="994"/>
        <w:rPr>
          <w:color w:val="000000"/>
          <w:sz w:val="22"/>
          <w:szCs w:val="22"/>
          <w:lang w:eastAsia="zh-CN"/>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780B74">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Current</w:t>
            </w:r>
          </w:p>
          <w:p w:rsidR="00CC5E44" w:rsidRPr="006E611C" w:rsidRDefault="00CC5E44" w:rsidP="00780B74">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780B74">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780B74">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27335A">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27335A">
              <w:rPr>
                <w:sz w:val="22"/>
                <w:szCs w:val="22"/>
              </w:rPr>
              <w:t xml:space="preserve">  (174)</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27335A">
            <w:pPr>
              <w:jc w:val="both"/>
              <w:rPr>
                <w:sz w:val="22"/>
                <w:szCs w:val="22"/>
              </w:rPr>
            </w:pPr>
            <w:r w:rsidRPr="006E611C">
              <w:rPr>
                <w:sz w:val="22"/>
                <w:szCs w:val="22"/>
              </w:rPr>
              <w:t xml:space="preserve">             </w:t>
            </w:r>
            <w:r w:rsidR="00DC142B">
              <w:rPr>
                <w:sz w:val="22"/>
                <w:szCs w:val="22"/>
              </w:rPr>
              <w:t xml:space="preserve"> 1</w:t>
            </w:r>
            <w:r w:rsidR="00205F35">
              <w:rPr>
                <w:sz w:val="22"/>
                <w:szCs w:val="22"/>
              </w:rPr>
              <w:t>,</w:t>
            </w:r>
            <w:r w:rsidR="0027335A">
              <w:rPr>
                <w:sz w:val="22"/>
                <w:szCs w:val="22"/>
              </w:rPr>
              <w:t>058</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27335A">
            <w:pPr>
              <w:jc w:val="both"/>
              <w:rPr>
                <w:sz w:val="22"/>
                <w:szCs w:val="22"/>
              </w:rPr>
            </w:pPr>
            <w:r w:rsidRPr="006E611C">
              <w:rPr>
                <w:sz w:val="22"/>
                <w:szCs w:val="22"/>
              </w:rPr>
              <w:t xml:space="preserve">             </w:t>
            </w:r>
            <w:r w:rsidR="00925884">
              <w:rPr>
                <w:sz w:val="22"/>
                <w:szCs w:val="22"/>
              </w:rPr>
              <w:t xml:space="preserve"> (</w:t>
            </w:r>
            <w:r w:rsidR="0027335A">
              <w:rPr>
                <w:sz w:val="22"/>
                <w:szCs w:val="22"/>
              </w:rPr>
              <w:t>2</w:t>
            </w:r>
            <w:r w:rsidR="00925884">
              <w:rPr>
                <w:sz w:val="22"/>
                <w:szCs w:val="22"/>
              </w:rPr>
              <w:t>,</w:t>
            </w:r>
            <w:r w:rsidR="003F6A2D">
              <w:rPr>
                <w:sz w:val="22"/>
                <w:szCs w:val="22"/>
              </w:rPr>
              <w:t>47</w:t>
            </w:r>
            <w:r w:rsidR="0027335A">
              <w:rPr>
                <w:sz w:val="22"/>
                <w:szCs w:val="22"/>
              </w:rPr>
              <w:t>0</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27335A">
            <w:pPr>
              <w:jc w:val="both"/>
              <w:rPr>
                <w:sz w:val="22"/>
                <w:szCs w:val="22"/>
              </w:rPr>
            </w:pPr>
            <w:r w:rsidRPr="006E611C">
              <w:rPr>
                <w:sz w:val="22"/>
                <w:szCs w:val="22"/>
              </w:rPr>
              <w:t xml:space="preserve">             </w:t>
            </w:r>
            <w:r w:rsidR="00665989">
              <w:rPr>
                <w:sz w:val="22"/>
                <w:szCs w:val="22"/>
              </w:rPr>
              <w:t>(</w:t>
            </w:r>
            <w:r w:rsidR="0027335A">
              <w:rPr>
                <w:sz w:val="22"/>
                <w:szCs w:val="22"/>
              </w:rPr>
              <w:t>3</w:t>
            </w:r>
            <w:r w:rsidR="00665989">
              <w:rPr>
                <w:sz w:val="22"/>
                <w:szCs w:val="22"/>
              </w:rPr>
              <w:t>,</w:t>
            </w:r>
            <w:r w:rsidR="0027335A">
              <w:rPr>
                <w:sz w:val="22"/>
                <w:szCs w:val="22"/>
              </w:rPr>
              <w:t>817</w:t>
            </w:r>
            <w:r w:rsidR="00DC142B">
              <w:rPr>
                <w:sz w:val="22"/>
                <w:szCs w:val="22"/>
              </w:rPr>
              <w:t>)</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27335A" w:rsidP="0027335A">
            <w:pPr>
              <w:jc w:val="both"/>
              <w:rPr>
                <w:sz w:val="22"/>
                <w:szCs w:val="22"/>
              </w:rPr>
            </w:pPr>
            <w:r>
              <w:rPr>
                <w:sz w:val="22"/>
                <w:szCs w:val="22"/>
              </w:rPr>
              <w:t xml:space="preserve">              (2,644)</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nil"/>
            </w:tcBorders>
            <w:vAlign w:val="bottom"/>
          </w:tcPr>
          <w:p w:rsidR="00CC5E44" w:rsidRPr="006E611C" w:rsidRDefault="0027335A" w:rsidP="0027335A">
            <w:pPr>
              <w:jc w:val="both"/>
              <w:rPr>
                <w:sz w:val="22"/>
                <w:szCs w:val="22"/>
              </w:rPr>
            </w:pPr>
            <w:r>
              <w:rPr>
                <w:sz w:val="22"/>
                <w:szCs w:val="22"/>
              </w:rPr>
              <w:t xml:space="preserve">            </w:t>
            </w:r>
            <w:r w:rsidR="00CC5E44" w:rsidRPr="006E611C">
              <w:rPr>
                <w:sz w:val="22"/>
                <w:szCs w:val="22"/>
              </w:rPr>
              <w:t xml:space="preserve"> </w:t>
            </w:r>
            <w:r w:rsidR="00DC142B">
              <w:rPr>
                <w:sz w:val="22"/>
                <w:szCs w:val="22"/>
              </w:rPr>
              <w:t>(</w:t>
            </w:r>
            <w:r>
              <w:rPr>
                <w:sz w:val="22"/>
                <w:szCs w:val="22"/>
              </w:rPr>
              <w:t>2,759</w:t>
            </w:r>
            <w:r w:rsidR="00DC142B">
              <w:rPr>
                <w:sz w:val="22"/>
                <w:szCs w:val="22"/>
              </w:rPr>
              <w:t>)</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p w:rsidR="00035FF2" w:rsidRPr="006E611C" w:rsidRDefault="00035FF2" w:rsidP="00780B74">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925884">
              <w:rPr>
                <w:sz w:val="22"/>
                <w:szCs w:val="22"/>
              </w:rPr>
              <w:t xml:space="preserve"> -</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DC142B">
              <w:rPr>
                <w:sz w:val="22"/>
                <w:szCs w:val="22"/>
              </w:rPr>
              <w:t xml:space="preserve">  -</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27335A">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r w:rsidR="0027335A">
              <w:rPr>
                <w:sz w:val="22"/>
                <w:szCs w:val="22"/>
              </w:rPr>
              <w:t>222</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27335A">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F2D08">
              <w:rPr>
                <w:sz w:val="22"/>
                <w:szCs w:val="22"/>
              </w:rPr>
              <w:t xml:space="preserve"> </w:t>
            </w:r>
            <w:r w:rsidR="0027335A">
              <w:rPr>
                <w:sz w:val="22"/>
                <w:szCs w:val="22"/>
              </w:rPr>
              <w:t>222</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27335A">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27335A">
              <w:rPr>
                <w:sz w:val="22"/>
                <w:szCs w:val="22"/>
              </w:rPr>
              <w:t>222</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27335A">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27335A">
              <w:rPr>
                <w:sz w:val="22"/>
                <w:szCs w:val="22"/>
              </w:rPr>
              <w:t>222</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780B74">
            <w:pPr>
              <w:jc w:val="both"/>
              <w:rPr>
                <w:sz w:val="22"/>
                <w:szCs w:val="22"/>
              </w:rPr>
            </w:pPr>
          </w:p>
        </w:tc>
        <w:tc>
          <w:tcPr>
            <w:tcW w:w="216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left w:val="nil"/>
              <w:right w:val="nil"/>
            </w:tcBorders>
            <w:vAlign w:val="bottom"/>
          </w:tcPr>
          <w:p w:rsidR="00035FF2" w:rsidRPr="006E611C" w:rsidRDefault="00035FF2" w:rsidP="0027335A">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3F6A2D">
              <w:rPr>
                <w:sz w:val="22"/>
                <w:szCs w:val="22"/>
              </w:rPr>
              <w:t>(</w:t>
            </w:r>
            <w:r w:rsidR="0027335A">
              <w:rPr>
                <w:sz w:val="22"/>
                <w:szCs w:val="22"/>
              </w:rPr>
              <w:t>2,422</w:t>
            </w:r>
            <w:r w:rsidR="003F6A2D">
              <w:rPr>
                <w:sz w:val="22"/>
                <w:szCs w:val="22"/>
              </w:rPr>
              <w:t>)</w:t>
            </w:r>
          </w:p>
        </w:tc>
        <w:tc>
          <w:tcPr>
            <w:tcW w:w="450" w:type="dxa"/>
            <w:gridSpan w:val="2"/>
            <w:tcBorders>
              <w:left w:val="nil"/>
              <w:right w:val="nil"/>
            </w:tcBorders>
            <w:vAlign w:val="bottom"/>
          </w:tcPr>
          <w:p w:rsidR="00035FF2" w:rsidRPr="006E611C" w:rsidRDefault="00035FF2" w:rsidP="00780B74">
            <w:pPr>
              <w:jc w:val="both"/>
              <w:rPr>
                <w:sz w:val="22"/>
                <w:szCs w:val="22"/>
              </w:rPr>
            </w:pPr>
          </w:p>
        </w:tc>
        <w:tc>
          <w:tcPr>
            <w:tcW w:w="2160" w:type="dxa"/>
            <w:gridSpan w:val="2"/>
            <w:tcBorders>
              <w:left w:val="nil"/>
              <w:right w:val="nil"/>
            </w:tcBorders>
            <w:vAlign w:val="bottom"/>
          </w:tcPr>
          <w:p w:rsidR="00035FF2" w:rsidRPr="006E611C" w:rsidRDefault="00035FF2" w:rsidP="0027335A">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C142B">
              <w:rPr>
                <w:sz w:val="22"/>
                <w:szCs w:val="22"/>
              </w:rPr>
              <w:t>(</w:t>
            </w:r>
            <w:r w:rsidR="0027335A">
              <w:rPr>
                <w:sz w:val="22"/>
                <w:szCs w:val="22"/>
              </w:rPr>
              <w:t>2,537</w:t>
            </w:r>
            <w:r w:rsidR="00DC142B">
              <w:rPr>
                <w:sz w:val="22"/>
                <w:szCs w:val="22"/>
              </w:rPr>
              <w:t>)</w:t>
            </w:r>
          </w:p>
        </w:tc>
        <w:tc>
          <w:tcPr>
            <w:tcW w:w="236" w:type="dxa"/>
            <w:tcBorders>
              <w:top w:val="nil"/>
              <w:left w:val="nil"/>
              <w:right w:val="nil"/>
            </w:tcBorders>
            <w:vAlign w:val="bottom"/>
          </w:tcPr>
          <w:p w:rsidR="00035FF2" w:rsidRPr="006E611C" w:rsidRDefault="00035FF2" w:rsidP="00780B74">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DC142B">
        <w:rPr>
          <w:bCs/>
          <w:sz w:val="22"/>
          <w:szCs w:val="22"/>
        </w:rPr>
        <w:t>5</w:t>
      </w:r>
      <w:r w:rsidR="00B27576">
        <w:rPr>
          <w:bCs/>
          <w:sz w:val="22"/>
          <w:szCs w:val="22"/>
        </w:rPr>
        <w:t>,</w:t>
      </w:r>
      <w:r w:rsidR="00DC142B">
        <w:rPr>
          <w:bCs/>
          <w:sz w:val="22"/>
          <w:szCs w:val="22"/>
        </w:rPr>
        <w:t>0</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w:t>
      </w:r>
      <w:r w:rsidR="00DC142B">
        <w:rPr>
          <w:bCs/>
          <w:sz w:val="22"/>
          <w:szCs w:val="22"/>
        </w:rPr>
        <w:t>8</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r>
      <w:proofErr w:type="spellStart"/>
      <w:r w:rsidRPr="006E611C">
        <w:rPr>
          <w:bCs/>
          <w:sz w:val="22"/>
          <w:szCs w:val="22"/>
        </w:rPr>
        <w:t>Nil</w:t>
      </w:r>
      <w:proofErr w:type="spellEnd"/>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DC142B">
        <w:rPr>
          <w:bCs/>
          <w:sz w:val="22"/>
          <w:szCs w:val="22"/>
        </w:rPr>
        <w:t>5</w:t>
      </w:r>
      <w:r w:rsidR="00A06778">
        <w:rPr>
          <w:bCs/>
          <w:sz w:val="22"/>
          <w:szCs w:val="22"/>
        </w:rPr>
        <w:t>,</w:t>
      </w:r>
      <w:r w:rsidR="00DC142B">
        <w:rPr>
          <w:bCs/>
          <w:sz w:val="22"/>
          <w:szCs w:val="22"/>
        </w:rPr>
        <w:t>0</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DC142B">
        <w:rPr>
          <w:bCs/>
          <w:sz w:val="22"/>
          <w:szCs w:val="22"/>
        </w:rPr>
        <w:t>88</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r>
      <w:proofErr w:type="spellStart"/>
      <w:r w:rsidRPr="006E611C">
        <w:rPr>
          <w:bCs/>
          <w:sz w:val="22"/>
          <w:szCs w:val="22"/>
        </w:rPr>
        <w:t>Nil</w:t>
      </w:r>
      <w:proofErr w:type="spellEnd"/>
    </w:p>
    <w:p w:rsidR="00863F5D" w:rsidRDefault="00863F5D"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1339EA" w:rsidRDefault="00120BA6" w:rsidP="00120BA6">
      <w:pPr>
        <w:tabs>
          <w:tab w:val="left" w:pos="1080"/>
        </w:tabs>
        <w:ind w:left="1080"/>
        <w:jc w:val="both"/>
        <w:rPr>
          <w:bCs/>
          <w:sz w:val="22"/>
          <w:szCs w:val="22"/>
        </w:rPr>
      </w:pPr>
      <w:r w:rsidRPr="00DA0496">
        <w:rPr>
          <w:bCs/>
          <w:sz w:val="22"/>
          <w:szCs w:val="22"/>
        </w:rPr>
        <w:t>The</w:t>
      </w:r>
      <w:r w:rsidR="001339EA">
        <w:rPr>
          <w:bCs/>
          <w:sz w:val="22"/>
          <w:szCs w:val="22"/>
        </w:rPr>
        <w:t xml:space="preserve"> final single tier system of dividend of 5% or 5 </w:t>
      </w:r>
      <w:proofErr w:type="spellStart"/>
      <w:r w:rsidR="001339EA">
        <w:rPr>
          <w:bCs/>
          <w:sz w:val="22"/>
          <w:szCs w:val="22"/>
        </w:rPr>
        <w:t>sen</w:t>
      </w:r>
      <w:proofErr w:type="spellEnd"/>
      <w:r w:rsidR="001339EA">
        <w:rPr>
          <w:bCs/>
          <w:sz w:val="22"/>
          <w:szCs w:val="22"/>
        </w:rPr>
        <w:t xml:space="preserve"> per share and a special single tier system of dividend of 2% or 2 </w:t>
      </w:r>
      <w:proofErr w:type="spellStart"/>
      <w:r w:rsidR="001339EA">
        <w:rPr>
          <w:bCs/>
          <w:sz w:val="22"/>
          <w:szCs w:val="22"/>
        </w:rPr>
        <w:t>sen</w:t>
      </w:r>
      <w:proofErr w:type="spellEnd"/>
      <w:r w:rsidR="001339EA">
        <w:rPr>
          <w:bCs/>
          <w:sz w:val="22"/>
          <w:szCs w:val="22"/>
        </w:rPr>
        <w:t xml:space="preserve"> per share for the financial year ended 2013 </w:t>
      </w:r>
      <w:r w:rsidR="0027335A">
        <w:rPr>
          <w:bCs/>
          <w:sz w:val="22"/>
          <w:szCs w:val="22"/>
        </w:rPr>
        <w:t xml:space="preserve">as recommended by the Directors were approved by the </w:t>
      </w:r>
      <w:r w:rsidR="00E56349">
        <w:rPr>
          <w:bCs/>
          <w:sz w:val="22"/>
          <w:szCs w:val="22"/>
        </w:rPr>
        <w:t>shareholders in the Tenth Annual General Meeting of the company held on 19</w:t>
      </w:r>
      <w:r w:rsidR="00E56349" w:rsidRPr="00E56349">
        <w:rPr>
          <w:bCs/>
          <w:sz w:val="22"/>
          <w:szCs w:val="22"/>
          <w:vertAlign w:val="superscript"/>
        </w:rPr>
        <w:t>th</w:t>
      </w:r>
      <w:r w:rsidR="00E56349">
        <w:rPr>
          <w:bCs/>
          <w:sz w:val="22"/>
          <w:szCs w:val="22"/>
        </w:rPr>
        <w:t xml:space="preserve"> June 2014. These dividends had subsequently been paid to the shareholders on 11</w:t>
      </w:r>
      <w:r w:rsidR="00E56349" w:rsidRPr="00E56349">
        <w:rPr>
          <w:bCs/>
          <w:sz w:val="22"/>
          <w:szCs w:val="22"/>
          <w:vertAlign w:val="superscript"/>
        </w:rPr>
        <w:t>th</w:t>
      </w:r>
      <w:r w:rsidR="00E56349">
        <w:rPr>
          <w:bCs/>
          <w:sz w:val="22"/>
          <w:szCs w:val="22"/>
        </w:rPr>
        <w:t xml:space="preserve"> July 2014</w:t>
      </w:r>
      <w:r w:rsidR="001339EA">
        <w:rPr>
          <w:bCs/>
          <w:sz w:val="22"/>
          <w:szCs w:val="22"/>
        </w:rPr>
        <w:t>.</w:t>
      </w:r>
    </w:p>
    <w:p w:rsidR="00120BA6" w:rsidRDefault="00120BA6" w:rsidP="00E56349">
      <w:pPr>
        <w:tabs>
          <w:tab w:val="left" w:pos="1080"/>
        </w:tabs>
        <w:jc w:val="both"/>
        <w:rPr>
          <w:bCs/>
          <w:sz w:val="22"/>
          <w:szCs w:val="22"/>
        </w:rPr>
      </w:pPr>
    </w:p>
    <w:p w:rsidR="00E56349" w:rsidRPr="00DA0496" w:rsidRDefault="00E56349" w:rsidP="00E56349">
      <w:pPr>
        <w:tabs>
          <w:tab w:val="left" w:pos="1080"/>
        </w:tabs>
        <w:jc w:val="both"/>
        <w:rPr>
          <w:bCs/>
          <w:sz w:val="22"/>
          <w:szCs w:val="22"/>
        </w:rPr>
      </w:pPr>
    </w:p>
    <w:p w:rsidR="006F2734" w:rsidRDefault="00120BA6" w:rsidP="008C434B">
      <w:pPr>
        <w:tabs>
          <w:tab w:val="left" w:pos="1080"/>
        </w:tabs>
        <w:jc w:val="both"/>
        <w:rPr>
          <w:bCs/>
          <w:sz w:val="22"/>
          <w:szCs w:val="22"/>
        </w:rPr>
      </w:pPr>
      <w:r w:rsidRPr="00DA0496">
        <w:rPr>
          <w:bCs/>
          <w:sz w:val="22"/>
          <w:szCs w:val="22"/>
        </w:rPr>
        <w:t xml:space="preserve"> </w:t>
      </w:r>
    </w:p>
    <w:p w:rsidR="008C434B" w:rsidRDefault="008C434B" w:rsidP="008C434B">
      <w:pPr>
        <w:tabs>
          <w:tab w:val="left" w:pos="1080"/>
        </w:tabs>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lastRenderedPageBreak/>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467A9D" w:rsidRDefault="00467A9D" w:rsidP="006F2734">
      <w:pPr>
        <w:tabs>
          <w:tab w:val="left" w:pos="1080"/>
        </w:tabs>
        <w:ind w:left="1080"/>
        <w:jc w:val="both"/>
        <w:rPr>
          <w:b/>
          <w:bCs/>
          <w:sz w:val="22"/>
          <w:szCs w:val="22"/>
        </w:rPr>
      </w:pPr>
    </w:p>
    <w:bookmarkStart w:id="4" w:name="_MON_1396444837"/>
    <w:bookmarkEnd w:id="4"/>
    <w:p w:rsidR="00643BD5" w:rsidRDefault="00B9622D" w:rsidP="006F2734">
      <w:pPr>
        <w:tabs>
          <w:tab w:val="left" w:pos="1080"/>
        </w:tabs>
        <w:ind w:left="1080"/>
        <w:jc w:val="both"/>
        <w:rPr>
          <w:b/>
          <w:bCs/>
          <w:sz w:val="22"/>
          <w:szCs w:val="22"/>
        </w:rPr>
      </w:pPr>
      <w:r w:rsidRPr="006E611C">
        <w:rPr>
          <w:b/>
          <w:bCs/>
          <w:sz w:val="22"/>
          <w:szCs w:val="22"/>
        </w:rPr>
        <w:object w:dxaOrig="8763" w:dyaOrig="3310">
          <v:shape id="_x0000_i1026" type="#_x0000_t75" style="width:428.4pt;height:162.6pt" o:ole="" fillcolor="window">
            <v:imagedata r:id="rId9" o:title=""/>
          </v:shape>
          <o:OLEObject Type="Embed" ProgID="Excel.Sheet.8" ShapeID="_x0000_i1026" DrawAspect="Content" ObjectID="_1468756116" r:id="rId10"/>
        </w:object>
      </w:r>
      <w:r w:rsidR="00643BD5" w:rsidRPr="006E611C">
        <w:rPr>
          <w:b/>
          <w:bCs/>
          <w:sz w:val="22"/>
          <w:szCs w:val="22"/>
        </w:rPr>
        <w:t xml:space="preserve">   </w:t>
      </w:r>
    </w:p>
    <w:p w:rsidR="008C434B" w:rsidRDefault="008C434B" w:rsidP="006F2734">
      <w:pPr>
        <w:tabs>
          <w:tab w:val="left" w:pos="1080"/>
        </w:tabs>
        <w:ind w:left="1080"/>
        <w:jc w:val="both"/>
        <w:rPr>
          <w:b/>
          <w:bCs/>
          <w:sz w:val="22"/>
          <w:szCs w:val="22"/>
        </w:rPr>
      </w:pPr>
    </w:p>
    <w:p w:rsidR="000775B2" w:rsidRDefault="000775B2" w:rsidP="006F2734">
      <w:pPr>
        <w:tabs>
          <w:tab w:val="left" w:pos="1080"/>
        </w:tabs>
        <w:ind w:left="108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09441"/>
      <w:bookmarkStart w:id="6" w:name="_MON_1396709312"/>
      <w:bookmarkStart w:id="7" w:name="_MON_1396772729"/>
      <w:bookmarkStart w:id="8" w:name="_MON_1396773492"/>
      <w:bookmarkStart w:id="9" w:name="_MON_1396773887"/>
      <w:bookmarkStart w:id="10" w:name="_MON_1396773964"/>
      <w:bookmarkStart w:id="11" w:name="_MON_1396774054"/>
      <w:bookmarkStart w:id="12" w:name="_MON_1396779710"/>
      <w:bookmarkStart w:id="13" w:name="_MON_1396709353"/>
      <w:bookmarkEnd w:id="5"/>
      <w:bookmarkEnd w:id="6"/>
      <w:bookmarkEnd w:id="7"/>
      <w:bookmarkEnd w:id="8"/>
      <w:bookmarkEnd w:id="9"/>
      <w:bookmarkEnd w:id="10"/>
      <w:bookmarkEnd w:id="11"/>
      <w:bookmarkEnd w:id="12"/>
      <w:bookmarkEnd w:id="13"/>
      <w:bookmarkStart w:id="14" w:name="_MON_1396939771"/>
      <w:bookmarkEnd w:id="14"/>
      <w:r w:rsidR="00F9472B" w:rsidRPr="00A97611">
        <w:rPr>
          <w:b/>
          <w:bCs/>
          <w:sz w:val="22"/>
          <w:szCs w:val="22"/>
        </w:rPr>
        <w:object w:dxaOrig="7134" w:dyaOrig="5190">
          <v:shape id="_x0000_i1027" type="#_x0000_t75" style="width:365.4pt;height:259.8pt" o:ole="">
            <v:imagedata r:id="rId11" o:title=""/>
          </v:shape>
          <o:OLEObject Type="Embed" ProgID="Excel.Sheet.12" ShapeID="_x0000_i1027" DrawAspect="Content" ObjectID="_1468756117" r:id="rId12"/>
        </w:object>
      </w:r>
    </w:p>
    <w:p w:rsidR="006F0E41" w:rsidRDefault="006F0E41"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06"/>
      <w:bookmarkStart w:id="16" w:name="_MON_1396445379"/>
      <w:bookmarkEnd w:id="15"/>
      <w:bookmarkEnd w:id="16"/>
      <w:bookmarkStart w:id="17" w:name="_MON_1396781848"/>
      <w:bookmarkEnd w:id="17"/>
      <w:r w:rsidR="00F9472B" w:rsidRPr="006E611C">
        <w:rPr>
          <w:b/>
          <w:bCs/>
          <w:sz w:val="22"/>
          <w:szCs w:val="22"/>
        </w:rPr>
        <w:object w:dxaOrig="8270" w:dyaOrig="3896">
          <v:shape id="_x0000_i1028" type="#_x0000_t75" style="width:405.6pt;height:190.8pt" o:ole="" fillcolor="window">
            <v:imagedata r:id="rId13" o:title=""/>
          </v:shape>
          <o:OLEObject Type="Embed" ProgID="Excel.Sheet.8" ShapeID="_x0000_i1028" DrawAspect="Content" ObjectID="_1468756118" r:id="rId14"/>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proofErr w:type="spellStart"/>
      <w:r w:rsidR="001339EA">
        <w:rPr>
          <w:sz w:val="22"/>
          <w:szCs w:val="22"/>
        </w:rPr>
        <w:t>Te</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F9472B" w:rsidP="00B27576">
      <w:pPr>
        <w:tabs>
          <w:tab w:val="left" w:pos="1080"/>
        </w:tabs>
        <w:ind w:left="1080" w:hanging="720"/>
        <w:jc w:val="both"/>
        <w:rPr>
          <w:sz w:val="22"/>
          <w:szCs w:val="22"/>
        </w:rPr>
      </w:pPr>
      <w:r>
        <w:rPr>
          <w:sz w:val="22"/>
          <w:szCs w:val="22"/>
        </w:rPr>
        <w:t>5</w:t>
      </w:r>
      <w:r w:rsidR="000379FE" w:rsidRPr="000379FE">
        <w:rPr>
          <w:sz w:val="22"/>
          <w:szCs w:val="22"/>
          <w:vertAlign w:val="superscript"/>
        </w:rPr>
        <w:t>th</w:t>
      </w:r>
      <w:r w:rsidR="000379FE">
        <w:rPr>
          <w:sz w:val="22"/>
          <w:szCs w:val="22"/>
        </w:rPr>
        <w:t xml:space="preserve"> </w:t>
      </w:r>
      <w:r>
        <w:rPr>
          <w:sz w:val="22"/>
          <w:szCs w:val="22"/>
        </w:rPr>
        <w:t>August</w:t>
      </w:r>
      <w:r w:rsidR="006C48A2">
        <w:rPr>
          <w:sz w:val="22"/>
          <w:szCs w:val="22"/>
        </w:rPr>
        <w:t xml:space="preserve"> </w:t>
      </w:r>
      <w:r w:rsidR="005249A5" w:rsidRPr="006E611C">
        <w:rPr>
          <w:sz w:val="22"/>
          <w:szCs w:val="22"/>
        </w:rPr>
        <w:t>201</w:t>
      </w:r>
      <w:r w:rsidR="00101FBE">
        <w:rPr>
          <w:sz w:val="22"/>
          <w:szCs w:val="22"/>
        </w:rPr>
        <w:t>4</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5"/>
      <w:footerReference w:type="even" r:id="rId16"/>
      <w:footerReference w:type="default" r:id="rId17"/>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45" w:rsidRDefault="00DD6745">
      <w:r>
        <w:separator/>
      </w:r>
    </w:p>
  </w:endnote>
  <w:endnote w:type="continuationSeparator" w:id="0">
    <w:p w:rsidR="00DD6745" w:rsidRDefault="00DD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8" w:rsidRDefault="004364E8"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4E8" w:rsidRDefault="004364E8"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8" w:rsidRDefault="004364E8"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5B2">
      <w:rPr>
        <w:rStyle w:val="PageNumber"/>
        <w:noProof/>
      </w:rPr>
      <w:t>1</w:t>
    </w:r>
    <w:r>
      <w:rPr>
        <w:rStyle w:val="PageNumber"/>
      </w:rPr>
      <w:fldChar w:fldCharType="end"/>
    </w:r>
  </w:p>
  <w:p w:rsidR="004364E8" w:rsidRDefault="004364E8">
    <w:pPr>
      <w:pStyle w:val="Footer"/>
      <w:ind w:right="360"/>
      <w:jc w:val="center"/>
      <w:rPr>
        <w:sz w:val="22"/>
        <w:szCs w:val="22"/>
      </w:rPr>
    </w:pPr>
  </w:p>
  <w:p w:rsidR="004364E8" w:rsidRDefault="004364E8">
    <w:pPr>
      <w:pStyle w:val="Footer"/>
      <w:ind w:right="360"/>
      <w:jc w:val="center"/>
      <w:rPr>
        <w:sz w:val="22"/>
        <w:szCs w:val="22"/>
      </w:rPr>
    </w:pPr>
  </w:p>
  <w:p w:rsidR="004364E8" w:rsidRDefault="00436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45" w:rsidRDefault="00DD6745">
      <w:r>
        <w:separator/>
      </w:r>
    </w:p>
  </w:footnote>
  <w:footnote w:type="continuationSeparator" w:id="0">
    <w:p w:rsidR="00DD6745" w:rsidRDefault="00DD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8" w:rsidRDefault="004364E8">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4364E8" w:rsidRPr="005B45A4" w:rsidRDefault="004364E8">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4364E8" w:rsidRDefault="004364E8">
    <w:pPr>
      <w:pStyle w:val="Header"/>
      <w:rPr>
        <w:rFonts w:ascii="Arial" w:hAnsi="Arial" w:cs="Arial"/>
        <w:b/>
        <w:bCs/>
        <w:i/>
        <w:iCs/>
        <w:sz w:val="22"/>
        <w:szCs w:val="22"/>
      </w:rPr>
    </w:pPr>
  </w:p>
  <w:p w:rsidR="004364E8" w:rsidRDefault="004364E8">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Pr>
        <w:rFonts w:ascii="Arial" w:hAnsi="Arial" w:cs="Arial"/>
        <w:b/>
        <w:bCs/>
        <w:sz w:val="22"/>
        <w:szCs w:val="22"/>
      </w:rPr>
      <w:t>Six Months Ended 30 June 2014</w:t>
    </w:r>
  </w:p>
  <w:p w:rsidR="004364E8" w:rsidRDefault="004364E8">
    <w:pPr>
      <w:pStyle w:val="Header"/>
      <w:tabs>
        <w:tab w:val="clear" w:pos="8640"/>
        <w:tab w:val="right" w:pos="10109"/>
      </w:tabs>
    </w:pPr>
  </w:p>
  <w:p w:rsidR="004364E8" w:rsidRDefault="004364E8">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0B"/>
    <w:rsid w:val="000002B0"/>
    <w:rsid w:val="00002557"/>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379FE"/>
    <w:rsid w:val="0004024B"/>
    <w:rsid w:val="00040BB5"/>
    <w:rsid w:val="00040E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1E6E"/>
    <w:rsid w:val="00065F3A"/>
    <w:rsid w:val="00066B58"/>
    <w:rsid w:val="00066ED3"/>
    <w:rsid w:val="00067E58"/>
    <w:rsid w:val="0007104E"/>
    <w:rsid w:val="00071179"/>
    <w:rsid w:val="00071310"/>
    <w:rsid w:val="00075C29"/>
    <w:rsid w:val="00076BD2"/>
    <w:rsid w:val="000775B2"/>
    <w:rsid w:val="0008024C"/>
    <w:rsid w:val="00080C1C"/>
    <w:rsid w:val="000815F4"/>
    <w:rsid w:val="0008319C"/>
    <w:rsid w:val="00083A3E"/>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A6B75"/>
    <w:rsid w:val="000B0E1E"/>
    <w:rsid w:val="000B2886"/>
    <w:rsid w:val="000B3D1A"/>
    <w:rsid w:val="000B48F9"/>
    <w:rsid w:val="000B5623"/>
    <w:rsid w:val="000B59C0"/>
    <w:rsid w:val="000B5D0D"/>
    <w:rsid w:val="000B63EB"/>
    <w:rsid w:val="000B6EF9"/>
    <w:rsid w:val="000B7C80"/>
    <w:rsid w:val="000C06D6"/>
    <w:rsid w:val="000C2351"/>
    <w:rsid w:val="000C4994"/>
    <w:rsid w:val="000C4A21"/>
    <w:rsid w:val="000C6008"/>
    <w:rsid w:val="000C79C7"/>
    <w:rsid w:val="000D0952"/>
    <w:rsid w:val="000D0977"/>
    <w:rsid w:val="000D0BA2"/>
    <w:rsid w:val="000E11E6"/>
    <w:rsid w:val="000E1B5F"/>
    <w:rsid w:val="000E2104"/>
    <w:rsid w:val="000E2122"/>
    <w:rsid w:val="000E3550"/>
    <w:rsid w:val="000E3781"/>
    <w:rsid w:val="000E3B91"/>
    <w:rsid w:val="000E4F2A"/>
    <w:rsid w:val="000E629A"/>
    <w:rsid w:val="000E64D8"/>
    <w:rsid w:val="000F0C2F"/>
    <w:rsid w:val="000F508D"/>
    <w:rsid w:val="000F5095"/>
    <w:rsid w:val="000F5DCE"/>
    <w:rsid w:val="000F6F17"/>
    <w:rsid w:val="00100DF1"/>
    <w:rsid w:val="00101FBE"/>
    <w:rsid w:val="001021FA"/>
    <w:rsid w:val="001022D3"/>
    <w:rsid w:val="001042B5"/>
    <w:rsid w:val="001111DB"/>
    <w:rsid w:val="00111DA6"/>
    <w:rsid w:val="0011202A"/>
    <w:rsid w:val="00113372"/>
    <w:rsid w:val="001137ED"/>
    <w:rsid w:val="00114710"/>
    <w:rsid w:val="0011676D"/>
    <w:rsid w:val="001167D8"/>
    <w:rsid w:val="001168F1"/>
    <w:rsid w:val="00116FBA"/>
    <w:rsid w:val="001179CC"/>
    <w:rsid w:val="0012007A"/>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2CA0"/>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4762"/>
    <w:rsid w:val="001757D4"/>
    <w:rsid w:val="0017629B"/>
    <w:rsid w:val="0017645E"/>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742B"/>
    <w:rsid w:val="001B7482"/>
    <w:rsid w:val="001C0E72"/>
    <w:rsid w:val="001C191E"/>
    <w:rsid w:val="001C2BB9"/>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171A"/>
    <w:rsid w:val="001F43F4"/>
    <w:rsid w:val="001F5046"/>
    <w:rsid w:val="001F64CA"/>
    <w:rsid w:val="001F6D82"/>
    <w:rsid w:val="001F73EE"/>
    <w:rsid w:val="001F796C"/>
    <w:rsid w:val="00201FD0"/>
    <w:rsid w:val="00202EBE"/>
    <w:rsid w:val="002040A1"/>
    <w:rsid w:val="00205F35"/>
    <w:rsid w:val="0020608D"/>
    <w:rsid w:val="0021011E"/>
    <w:rsid w:val="00211A23"/>
    <w:rsid w:val="00213467"/>
    <w:rsid w:val="00215D33"/>
    <w:rsid w:val="00216203"/>
    <w:rsid w:val="00221E62"/>
    <w:rsid w:val="002221C3"/>
    <w:rsid w:val="00222286"/>
    <w:rsid w:val="00223AD9"/>
    <w:rsid w:val="0022446F"/>
    <w:rsid w:val="00224D4B"/>
    <w:rsid w:val="00225BF3"/>
    <w:rsid w:val="0022702D"/>
    <w:rsid w:val="002300DB"/>
    <w:rsid w:val="0023132F"/>
    <w:rsid w:val="00231F9A"/>
    <w:rsid w:val="00235010"/>
    <w:rsid w:val="00235C56"/>
    <w:rsid w:val="00236FCE"/>
    <w:rsid w:val="0023705D"/>
    <w:rsid w:val="0024062A"/>
    <w:rsid w:val="002417AF"/>
    <w:rsid w:val="00242278"/>
    <w:rsid w:val="0024269B"/>
    <w:rsid w:val="0024550B"/>
    <w:rsid w:val="002456C6"/>
    <w:rsid w:val="00245848"/>
    <w:rsid w:val="002462F7"/>
    <w:rsid w:val="0024765A"/>
    <w:rsid w:val="00247C39"/>
    <w:rsid w:val="0025018F"/>
    <w:rsid w:val="0025075B"/>
    <w:rsid w:val="00252D64"/>
    <w:rsid w:val="00252EC0"/>
    <w:rsid w:val="00255A1A"/>
    <w:rsid w:val="00255FF6"/>
    <w:rsid w:val="00256B89"/>
    <w:rsid w:val="00256D7E"/>
    <w:rsid w:val="00260BA5"/>
    <w:rsid w:val="0026105A"/>
    <w:rsid w:val="002611A3"/>
    <w:rsid w:val="00261319"/>
    <w:rsid w:val="00262B29"/>
    <w:rsid w:val="00263325"/>
    <w:rsid w:val="00264BBB"/>
    <w:rsid w:val="002653F3"/>
    <w:rsid w:val="002655BF"/>
    <w:rsid w:val="00265650"/>
    <w:rsid w:val="00266ABD"/>
    <w:rsid w:val="002718D8"/>
    <w:rsid w:val="0027335A"/>
    <w:rsid w:val="00274A61"/>
    <w:rsid w:val="002779ED"/>
    <w:rsid w:val="00280344"/>
    <w:rsid w:val="00281594"/>
    <w:rsid w:val="00281CF0"/>
    <w:rsid w:val="0028273C"/>
    <w:rsid w:val="00282A0C"/>
    <w:rsid w:val="00282C90"/>
    <w:rsid w:val="00284078"/>
    <w:rsid w:val="00284BE2"/>
    <w:rsid w:val="002859B7"/>
    <w:rsid w:val="002860A9"/>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1CD"/>
    <w:rsid w:val="002B1FDF"/>
    <w:rsid w:val="002B33D3"/>
    <w:rsid w:val="002B3CE6"/>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2D4B"/>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43C3"/>
    <w:rsid w:val="00305369"/>
    <w:rsid w:val="00306E0E"/>
    <w:rsid w:val="00310C65"/>
    <w:rsid w:val="00311B74"/>
    <w:rsid w:val="003126AC"/>
    <w:rsid w:val="00313906"/>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6798"/>
    <w:rsid w:val="0034739E"/>
    <w:rsid w:val="0034797F"/>
    <w:rsid w:val="00350347"/>
    <w:rsid w:val="003511F6"/>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7B78"/>
    <w:rsid w:val="003A7DE4"/>
    <w:rsid w:val="003B0D08"/>
    <w:rsid w:val="003B1EB6"/>
    <w:rsid w:val="003B27E3"/>
    <w:rsid w:val="003B28E2"/>
    <w:rsid w:val="003B6878"/>
    <w:rsid w:val="003C10CF"/>
    <w:rsid w:val="003C11DB"/>
    <w:rsid w:val="003C1BD7"/>
    <w:rsid w:val="003C1C41"/>
    <w:rsid w:val="003C3058"/>
    <w:rsid w:val="003C359C"/>
    <w:rsid w:val="003C3B6A"/>
    <w:rsid w:val="003C53B8"/>
    <w:rsid w:val="003C6770"/>
    <w:rsid w:val="003C79B2"/>
    <w:rsid w:val="003C7BBA"/>
    <w:rsid w:val="003D2CCC"/>
    <w:rsid w:val="003D4566"/>
    <w:rsid w:val="003D5989"/>
    <w:rsid w:val="003D6DAF"/>
    <w:rsid w:val="003D7D98"/>
    <w:rsid w:val="003E29F5"/>
    <w:rsid w:val="003E3BD5"/>
    <w:rsid w:val="003E45F5"/>
    <w:rsid w:val="003E4D30"/>
    <w:rsid w:val="003E5159"/>
    <w:rsid w:val="003E5681"/>
    <w:rsid w:val="003E5784"/>
    <w:rsid w:val="003E6A6B"/>
    <w:rsid w:val="003E6FFD"/>
    <w:rsid w:val="003E705D"/>
    <w:rsid w:val="003F1232"/>
    <w:rsid w:val="003F1B3F"/>
    <w:rsid w:val="003F1BBF"/>
    <w:rsid w:val="003F24F0"/>
    <w:rsid w:val="003F481B"/>
    <w:rsid w:val="003F6A2D"/>
    <w:rsid w:val="003F6C76"/>
    <w:rsid w:val="003F7487"/>
    <w:rsid w:val="004036B0"/>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4E8"/>
    <w:rsid w:val="004365A6"/>
    <w:rsid w:val="00436C7A"/>
    <w:rsid w:val="00437376"/>
    <w:rsid w:val="00442FBF"/>
    <w:rsid w:val="00445F8B"/>
    <w:rsid w:val="00446C8D"/>
    <w:rsid w:val="004475B8"/>
    <w:rsid w:val="0044787E"/>
    <w:rsid w:val="004502FD"/>
    <w:rsid w:val="0045388F"/>
    <w:rsid w:val="0045419B"/>
    <w:rsid w:val="00454580"/>
    <w:rsid w:val="00454581"/>
    <w:rsid w:val="00454877"/>
    <w:rsid w:val="00455C7B"/>
    <w:rsid w:val="00455CED"/>
    <w:rsid w:val="00457AA0"/>
    <w:rsid w:val="00461539"/>
    <w:rsid w:val="00461582"/>
    <w:rsid w:val="004630C5"/>
    <w:rsid w:val="004643FE"/>
    <w:rsid w:val="00464C13"/>
    <w:rsid w:val="0046605F"/>
    <w:rsid w:val="004678EC"/>
    <w:rsid w:val="00467A9D"/>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ACC"/>
    <w:rsid w:val="00492B7C"/>
    <w:rsid w:val="00492C73"/>
    <w:rsid w:val="004930E6"/>
    <w:rsid w:val="00495714"/>
    <w:rsid w:val="004957E2"/>
    <w:rsid w:val="004959D0"/>
    <w:rsid w:val="00496B42"/>
    <w:rsid w:val="004A1192"/>
    <w:rsid w:val="004A164D"/>
    <w:rsid w:val="004A246E"/>
    <w:rsid w:val="004A2494"/>
    <w:rsid w:val="004A2A35"/>
    <w:rsid w:val="004A455E"/>
    <w:rsid w:val="004A5D67"/>
    <w:rsid w:val="004A7788"/>
    <w:rsid w:val="004B235B"/>
    <w:rsid w:val="004B3AEB"/>
    <w:rsid w:val="004B4C55"/>
    <w:rsid w:val="004B5B96"/>
    <w:rsid w:val="004B6E94"/>
    <w:rsid w:val="004C012E"/>
    <w:rsid w:val="004C3A44"/>
    <w:rsid w:val="004C5481"/>
    <w:rsid w:val="004C5958"/>
    <w:rsid w:val="004C7594"/>
    <w:rsid w:val="004C7922"/>
    <w:rsid w:val="004D0782"/>
    <w:rsid w:val="004D30B7"/>
    <w:rsid w:val="004D6E06"/>
    <w:rsid w:val="004D7A1C"/>
    <w:rsid w:val="004E0883"/>
    <w:rsid w:val="004E16D3"/>
    <w:rsid w:val="004E19EC"/>
    <w:rsid w:val="004E2CCC"/>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00"/>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33E"/>
    <w:rsid w:val="00597F44"/>
    <w:rsid w:val="005A0846"/>
    <w:rsid w:val="005A159A"/>
    <w:rsid w:val="005A2B1E"/>
    <w:rsid w:val="005A3150"/>
    <w:rsid w:val="005A3D6E"/>
    <w:rsid w:val="005A41D2"/>
    <w:rsid w:val="005A671B"/>
    <w:rsid w:val="005A7095"/>
    <w:rsid w:val="005A72CA"/>
    <w:rsid w:val="005A7840"/>
    <w:rsid w:val="005A7A43"/>
    <w:rsid w:val="005B17AB"/>
    <w:rsid w:val="005B37F4"/>
    <w:rsid w:val="005B43EF"/>
    <w:rsid w:val="005B446E"/>
    <w:rsid w:val="005B45A4"/>
    <w:rsid w:val="005B4625"/>
    <w:rsid w:val="005B5245"/>
    <w:rsid w:val="005B67C6"/>
    <w:rsid w:val="005C0812"/>
    <w:rsid w:val="005C21F4"/>
    <w:rsid w:val="005C2D00"/>
    <w:rsid w:val="005C3825"/>
    <w:rsid w:val="005C41F4"/>
    <w:rsid w:val="005C5C5B"/>
    <w:rsid w:val="005C612C"/>
    <w:rsid w:val="005C68E9"/>
    <w:rsid w:val="005C735C"/>
    <w:rsid w:val="005C78E2"/>
    <w:rsid w:val="005D010D"/>
    <w:rsid w:val="005D1204"/>
    <w:rsid w:val="005D2711"/>
    <w:rsid w:val="005D5186"/>
    <w:rsid w:val="005D5EEC"/>
    <w:rsid w:val="005E0047"/>
    <w:rsid w:val="005E06C9"/>
    <w:rsid w:val="005E10A6"/>
    <w:rsid w:val="005E1524"/>
    <w:rsid w:val="005E1C79"/>
    <w:rsid w:val="005E3720"/>
    <w:rsid w:val="005E40FA"/>
    <w:rsid w:val="005E4211"/>
    <w:rsid w:val="005E4A14"/>
    <w:rsid w:val="005E56FA"/>
    <w:rsid w:val="005E5CDD"/>
    <w:rsid w:val="005E69C0"/>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17782"/>
    <w:rsid w:val="00620D92"/>
    <w:rsid w:val="00621E40"/>
    <w:rsid w:val="00624DB2"/>
    <w:rsid w:val="00624EEC"/>
    <w:rsid w:val="00624F77"/>
    <w:rsid w:val="0062527E"/>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347"/>
    <w:rsid w:val="0066279B"/>
    <w:rsid w:val="0066298E"/>
    <w:rsid w:val="00663AB8"/>
    <w:rsid w:val="00663B22"/>
    <w:rsid w:val="00665989"/>
    <w:rsid w:val="0066717A"/>
    <w:rsid w:val="00667253"/>
    <w:rsid w:val="00667E29"/>
    <w:rsid w:val="0067136C"/>
    <w:rsid w:val="0067237A"/>
    <w:rsid w:val="006723C3"/>
    <w:rsid w:val="0067324D"/>
    <w:rsid w:val="006743DF"/>
    <w:rsid w:val="00675FAF"/>
    <w:rsid w:val="00680E7D"/>
    <w:rsid w:val="006845AA"/>
    <w:rsid w:val="006845F7"/>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51D6"/>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93"/>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879"/>
    <w:rsid w:val="00707929"/>
    <w:rsid w:val="00710DDE"/>
    <w:rsid w:val="007146CD"/>
    <w:rsid w:val="0071520F"/>
    <w:rsid w:val="00716B50"/>
    <w:rsid w:val="0072113B"/>
    <w:rsid w:val="00722B11"/>
    <w:rsid w:val="00723601"/>
    <w:rsid w:val="00723820"/>
    <w:rsid w:val="00724904"/>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337"/>
    <w:rsid w:val="00745637"/>
    <w:rsid w:val="00745F86"/>
    <w:rsid w:val="00746805"/>
    <w:rsid w:val="00746C15"/>
    <w:rsid w:val="00747672"/>
    <w:rsid w:val="00751F45"/>
    <w:rsid w:val="00753EE1"/>
    <w:rsid w:val="00754480"/>
    <w:rsid w:val="00754E31"/>
    <w:rsid w:val="007562DB"/>
    <w:rsid w:val="00756403"/>
    <w:rsid w:val="00756650"/>
    <w:rsid w:val="00761F12"/>
    <w:rsid w:val="00762EED"/>
    <w:rsid w:val="00762F12"/>
    <w:rsid w:val="007663B9"/>
    <w:rsid w:val="007664A3"/>
    <w:rsid w:val="007674FD"/>
    <w:rsid w:val="00770CC9"/>
    <w:rsid w:val="007711E5"/>
    <w:rsid w:val="00771293"/>
    <w:rsid w:val="007739D8"/>
    <w:rsid w:val="00774025"/>
    <w:rsid w:val="00774586"/>
    <w:rsid w:val="0077469D"/>
    <w:rsid w:val="0077473A"/>
    <w:rsid w:val="007752AE"/>
    <w:rsid w:val="00775696"/>
    <w:rsid w:val="00777EA0"/>
    <w:rsid w:val="00780B74"/>
    <w:rsid w:val="00781B22"/>
    <w:rsid w:val="00782470"/>
    <w:rsid w:val="00782715"/>
    <w:rsid w:val="00782E6F"/>
    <w:rsid w:val="00784596"/>
    <w:rsid w:val="0078493B"/>
    <w:rsid w:val="007871D8"/>
    <w:rsid w:val="007873AA"/>
    <w:rsid w:val="00787D3E"/>
    <w:rsid w:val="007904AD"/>
    <w:rsid w:val="0079241A"/>
    <w:rsid w:val="00793B03"/>
    <w:rsid w:val="0079582C"/>
    <w:rsid w:val="00795EE1"/>
    <w:rsid w:val="00795F3B"/>
    <w:rsid w:val="007A0816"/>
    <w:rsid w:val="007A0915"/>
    <w:rsid w:val="007A18C7"/>
    <w:rsid w:val="007A37D2"/>
    <w:rsid w:val="007A3A47"/>
    <w:rsid w:val="007A6565"/>
    <w:rsid w:val="007B00AA"/>
    <w:rsid w:val="007B5823"/>
    <w:rsid w:val="007B6D14"/>
    <w:rsid w:val="007B6F92"/>
    <w:rsid w:val="007B7018"/>
    <w:rsid w:val="007B75DD"/>
    <w:rsid w:val="007C06DF"/>
    <w:rsid w:val="007C1606"/>
    <w:rsid w:val="007C16B8"/>
    <w:rsid w:val="007C26DD"/>
    <w:rsid w:val="007C3270"/>
    <w:rsid w:val="007C3759"/>
    <w:rsid w:val="007C4C48"/>
    <w:rsid w:val="007C69D8"/>
    <w:rsid w:val="007C6CA3"/>
    <w:rsid w:val="007C780F"/>
    <w:rsid w:val="007D4154"/>
    <w:rsid w:val="007D6B08"/>
    <w:rsid w:val="007D6C86"/>
    <w:rsid w:val="007E1614"/>
    <w:rsid w:val="007E19AA"/>
    <w:rsid w:val="007E2293"/>
    <w:rsid w:val="007E2EB6"/>
    <w:rsid w:val="007E3318"/>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63F5D"/>
    <w:rsid w:val="0087072E"/>
    <w:rsid w:val="0087129D"/>
    <w:rsid w:val="00871CCA"/>
    <w:rsid w:val="00871F1D"/>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6BF2"/>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434B"/>
    <w:rsid w:val="008C506B"/>
    <w:rsid w:val="008C5F53"/>
    <w:rsid w:val="008C6220"/>
    <w:rsid w:val="008C6416"/>
    <w:rsid w:val="008C671E"/>
    <w:rsid w:val="008D1211"/>
    <w:rsid w:val="008D1AB0"/>
    <w:rsid w:val="008D1BBB"/>
    <w:rsid w:val="008D1F8C"/>
    <w:rsid w:val="008D3545"/>
    <w:rsid w:val="008D4986"/>
    <w:rsid w:val="008D4A71"/>
    <w:rsid w:val="008D75CD"/>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2FC4"/>
    <w:rsid w:val="009036F3"/>
    <w:rsid w:val="00903E2B"/>
    <w:rsid w:val="00904C64"/>
    <w:rsid w:val="00906436"/>
    <w:rsid w:val="0091084B"/>
    <w:rsid w:val="00911183"/>
    <w:rsid w:val="0091400D"/>
    <w:rsid w:val="00914E1C"/>
    <w:rsid w:val="0091538E"/>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081"/>
    <w:rsid w:val="00945DEF"/>
    <w:rsid w:val="00946542"/>
    <w:rsid w:val="0094698D"/>
    <w:rsid w:val="00947EAF"/>
    <w:rsid w:val="00950797"/>
    <w:rsid w:val="00950EDD"/>
    <w:rsid w:val="00952A16"/>
    <w:rsid w:val="00953DEE"/>
    <w:rsid w:val="0095425F"/>
    <w:rsid w:val="00955A6E"/>
    <w:rsid w:val="00955D8A"/>
    <w:rsid w:val="00956AD2"/>
    <w:rsid w:val="00957DA3"/>
    <w:rsid w:val="009602E5"/>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3ACA"/>
    <w:rsid w:val="009843CD"/>
    <w:rsid w:val="00984DCB"/>
    <w:rsid w:val="00986915"/>
    <w:rsid w:val="00986D95"/>
    <w:rsid w:val="00987542"/>
    <w:rsid w:val="009902FA"/>
    <w:rsid w:val="009914CC"/>
    <w:rsid w:val="00991E0F"/>
    <w:rsid w:val="00995E20"/>
    <w:rsid w:val="00996F59"/>
    <w:rsid w:val="00997C13"/>
    <w:rsid w:val="009A2A07"/>
    <w:rsid w:val="009A31E1"/>
    <w:rsid w:val="009A3AF6"/>
    <w:rsid w:val="009A60D5"/>
    <w:rsid w:val="009A60EF"/>
    <w:rsid w:val="009A6C43"/>
    <w:rsid w:val="009A6E2B"/>
    <w:rsid w:val="009B13F7"/>
    <w:rsid w:val="009B1D74"/>
    <w:rsid w:val="009B2E76"/>
    <w:rsid w:val="009B3AAF"/>
    <w:rsid w:val="009B5781"/>
    <w:rsid w:val="009B6A30"/>
    <w:rsid w:val="009C0850"/>
    <w:rsid w:val="009C1723"/>
    <w:rsid w:val="009C226B"/>
    <w:rsid w:val="009C2922"/>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4676B"/>
    <w:rsid w:val="00A501DB"/>
    <w:rsid w:val="00A51C7D"/>
    <w:rsid w:val="00A53F5E"/>
    <w:rsid w:val="00A55A62"/>
    <w:rsid w:val="00A56D30"/>
    <w:rsid w:val="00A57C13"/>
    <w:rsid w:val="00A606B1"/>
    <w:rsid w:val="00A62DB3"/>
    <w:rsid w:val="00A64E55"/>
    <w:rsid w:val="00A64FC4"/>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1763"/>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22F9"/>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0C46"/>
    <w:rsid w:val="00B217DC"/>
    <w:rsid w:val="00B23625"/>
    <w:rsid w:val="00B236C9"/>
    <w:rsid w:val="00B23973"/>
    <w:rsid w:val="00B23BEF"/>
    <w:rsid w:val="00B242E6"/>
    <w:rsid w:val="00B266CC"/>
    <w:rsid w:val="00B271A1"/>
    <w:rsid w:val="00B27576"/>
    <w:rsid w:val="00B27B74"/>
    <w:rsid w:val="00B31D52"/>
    <w:rsid w:val="00B31E39"/>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359E"/>
    <w:rsid w:val="00B6521E"/>
    <w:rsid w:val="00B6541D"/>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70E"/>
    <w:rsid w:val="00B82FC8"/>
    <w:rsid w:val="00B83CE1"/>
    <w:rsid w:val="00B84151"/>
    <w:rsid w:val="00B8458B"/>
    <w:rsid w:val="00B90A90"/>
    <w:rsid w:val="00B90DAC"/>
    <w:rsid w:val="00B93D89"/>
    <w:rsid w:val="00B94306"/>
    <w:rsid w:val="00B94721"/>
    <w:rsid w:val="00B94CF3"/>
    <w:rsid w:val="00B95280"/>
    <w:rsid w:val="00B95927"/>
    <w:rsid w:val="00B9622D"/>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614"/>
    <w:rsid w:val="00BF0B89"/>
    <w:rsid w:val="00BF1765"/>
    <w:rsid w:val="00BF2D1A"/>
    <w:rsid w:val="00BF2DFC"/>
    <w:rsid w:val="00BF3356"/>
    <w:rsid w:val="00BF37B2"/>
    <w:rsid w:val="00BF4432"/>
    <w:rsid w:val="00BF4A3E"/>
    <w:rsid w:val="00BF53F1"/>
    <w:rsid w:val="00BF5893"/>
    <w:rsid w:val="00BF6C9E"/>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351AD"/>
    <w:rsid w:val="00C40BB8"/>
    <w:rsid w:val="00C40FFC"/>
    <w:rsid w:val="00C45272"/>
    <w:rsid w:val="00C45853"/>
    <w:rsid w:val="00C45E61"/>
    <w:rsid w:val="00C479AF"/>
    <w:rsid w:val="00C52462"/>
    <w:rsid w:val="00C525CF"/>
    <w:rsid w:val="00C528CA"/>
    <w:rsid w:val="00C54941"/>
    <w:rsid w:val="00C60DD3"/>
    <w:rsid w:val="00C63004"/>
    <w:rsid w:val="00C64181"/>
    <w:rsid w:val="00C662A3"/>
    <w:rsid w:val="00C67A62"/>
    <w:rsid w:val="00C71367"/>
    <w:rsid w:val="00C71731"/>
    <w:rsid w:val="00C7230B"/>
    <w:rsid w:val="00C74D08"/>
    <w:rsid w:val="00C7543C"/>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3E7"/>
    <w:rsid w:val="00CD1580"/>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45B9"/>
    <w:rsid w:val="00CE6589"/>
    <w:rsid w:val="00CF0B19"/>
    <w:rsid w:val="00CF2236"/>
    <w:rsid w:val="00CF7A7E"/>
    <w:rsid w:val="00D01117"/>
    <w:rsid w:val="00D02591"/>
    <w:rsid w:val="00D03B88"/>
    <w:rsid w:val="00D04B7C"/>
    <w:rsid w:val="00D04C34"/>
    <w:rsid w:val="00D06E6A"/>
    <w:rsid w:val="00D07FCC"/>
    <w:rsid w:val="00D13DEB"/>
    <w:rsid w:val="00D1416A"/>
    <w:rsid w:val="00D14763"/>
    <w:rsid w:val="00D14AE8"/>
    <w:rsid w:val="00D1558A"/>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36035"/>
    <w:rsid w:val="00D40000"/>
    <w:rsid w:val="00D40F72"/>
    <w:rsid w:val="00D4137B"/>
    <w:rsid w:val="00D42190"/>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1FE6"/>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32E"/>
    <w:rsid w:val="00DB44AD"/>
    <w:rsid w:val="00DB452C"/>
    <w:rsid w:val="00DB4BB7"/>
    <w:rsid w:val="00DB4E5A"/>
    <w:rsid w:val="00DB5785"/>
    <w:rsid w:val="00DB58E9"/>
    <w:rsid w:val="00DB5B49"/>
    <w:rsid w:val="00DB6F07"/>
    <w:rsid w:val="00DC13BD"/>
    <w:rsid w:val="00DC142B"/>
    <w:rsid w:val="00DC255E"/>
    <w:rsid w:val="00DC2FDC"/>
    <w:rsid w:val="00DC333F"/>
    <w:rsid w:val="00DC373A"/>
    <w:rsid w:val="00DC567C"/>
    <w:rsid w:val="00DC58CC"/>
    <w:rsid w:val="00DC720A"/>
    <w:rsid w:val="00DC763A"/>
    <w:rsid w:val="00DD39FD"/>
    <w:rsid w:val="00DD610B"/>
    <w:rsid w:val="00DD6735"/>
    <w:rsid w:val="00DD6745"/>
    <w:rsid w:val="00DD6990"/>
    <w:rsid w:val="00DD6E27"/>
    <w:rsid w:val="00DD7FA3"/>
    <w:rsid w:val="00DE1248"/>
    <w:rsid w:val="00DE7967"/>
    <w:rsid w:val="00DF2D08"/>
    <w:rsid w:val="00DF3B9C"/>
    <w:rsid w:val="00DF5781"/>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349"/>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3C63"/>
    <w:rsid w:val="00E84363"/>
    <w:rsid w:val="00E84791"/>
    <w:rsid w:val="00E876EF"/>
    <w:rsid w:val="00E90E7F"/>
    <w:rsid w:val="00E9271E"/>
    <w:rsid w:val="00E9376A"/>
    <w:rsid w:val="00E948BA"/>
    <w:rsid w:val="00E9595A"/>
    <w:rsid w:val="00E9712C"/>
    <w:rsid w:val="00EA14EF"/>
    <w:rsid w:val="00EA3003"/>
    <w:rsid w:val="00EA3B88"/>
    <w:rsid w:val="00EA3D03"/>
    <w:rsid w:val="00EA543B"/>
    <w:rsid w:val="00EA5E3F"/>
    <w:rsid w:val="00EA648B"/>
    <w:rsid w:val="00EA68C8"/>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17F2"/>
    <w:rsid w:val="00ED39C9"/>
    <w:rsid w:val="00ED51A3"/>
    <w:rsid w:val="00ED51C9"/>
    <w:rsid w:val="00ED5304"/>
    <w:rsid w:val="00EE004B"/>
    <w:rsid w:val="00EE1B68"/>
    <w:rsid w:val="00EE4B6A"/>
    <w:rsid w:val="00EE5E78"/>
    <w:rsid w:val="00EE6F09"/>
    <w:rsid w:val="00EE70F2"/>
    <w:rsid w:val="00EE7236"/>
    <w:rsid w:val="00EE7887"/>
    <w:rsid w:val="00EF2F4D"/>
    <w:rsid w:val="00EF2F56"/>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1D39"/>
    <w:rsid w:val="00F43F68"/>
    <w:rsid w:val="00F44560"/>
    <w:rsid w:val="00F4496A"/>
    <w:rsid w:val="00F4515A"/>
    <w:rsid w:val="00F45509"/>
    <w:rsid w:val="00F45D9E"/>
    <w:rsid w:val="00F45E2D"/>
    <w:rsid w:val="00F50812"/>
    <w:rsid w:val="00F54905"/>
    <w:rsid w:val="00F567A5"/>
    <w:rsid w:val="00F57268"/>
    <w:rsid w:val="00F61056"/>
    <w:rsid w:val="00F6203E"/>
    <w:rsid w:val="00F65364"/>
    <w:rsid w:val="00F65EC6"/>
    <w:rsid w:val="00F6726B"/>
    <w:rsid w:val="00F70A90"/>
    <w:rsid w:val="00F718EA"/>
    <w:rsid w:val="00F74924"/>
    <w:rsid w:val="00F7649D"/>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472B"/>
    <w:rsid w:val="00F95E2B"/>
    <w:rsid w:val="00F968E1"/>
    <w:rsid w:val="00FA0A51"/>
    <w:rsid w:val="00FA2001"/>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71D"/>
    <w:rsid w:val="00FE0871"/>
    <w:rsid w:val="00FE0A3A"/>
    <w:rsid w:val="00FE0A5F"/>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ABD657-7055-4258-AC2B-B818EFB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Excel_97-2003_Worksheet2.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dc:creator>
  <cp:keywords/>
  <dc:description/>
  <cp:lastModifiedBy>FVP</cp:lastModifiedBy>
  <cp:revision>11</cp:revision>
  <cp:lastPrinted>2012-04-20T08:57:00Z</cp:lastPrinted>
  <dcterms:created xsi:type="dcterms:W3CDTF">2014-07-22T05:54:00Z</dcterms:created>
  <dcterms:modified xsi:type="dcterms:W3CDTF">2014-08-05T07:02:00Z</dcterms:modified>
</cp:coreProperties>
</file>